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3A63" w14:textId="77777777" w:rsidR="00D75D57" w:rsidRPr="00211744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061BFE81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2432E240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4F1E7582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5E8EE846" w14:textId="77777777" w:rsidR="00AE295C" w:rsidRPr="00AE295C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</w:p>
          <w:p w14:paraId="2B719C6C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49E07FDF" wp14:editId="4496794F">
                  <wp:extent cx="905996" cy="733425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0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571" cy="73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AB0A7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3A7D335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785E583D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566C2102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D3B2584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311AFFFD" w14:textId="77777777" w:rsidR="00323E0B" w:rsidRPr="0011461C" w:rsidRDefault="00323E0B" w:rsidP="00323E0B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73DB47E0" w14:textId="77777777" w:rsidR="00323E0B" w:rsidRPr="0011461C" w:rsidRDefault="00323E0B" w:rsidP="00323E0B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3E615AB4" w14:textId="77777777" w:rsidR="00323E0B" w:rsidRPr="0011461C" w:rsidRDefault="00323E0B" w:rsidP="00323E0B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37E18ED2" w14:textId="77777777" w:rsidR="00323E0B" w:rsidRPr="0011461C" w:rsidRDefault="00323E0B" w:rsidP="00323E0B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6330E98D" w14:textId="77777777" w:rsidR="0011730F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14:paraId="667CA933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14:paraId="577407B5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1958801A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33714A6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3200EC8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1FE3C67B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0421C87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34D113B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3E9AC207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212543B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4364336" w14:textId="77777777" w:rsidR="00A26311" w:rsidRDefault="0011730F" w:rsidP="00A26311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50BD380C" w14:textId="77777777" w:rsidR="00AA2466" w:rsidRPr="0011730F" w:rsidRDefault="00A26311" w:rsidP="00A26311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децембар 2024 - април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7AFF3BAE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3B7155BB" w14:textId="77777777" w:rsidTr="00834D85">
        <w:trPr>
          <w:trHeight w:val="885"/>
          <w:jc w:val="center"/>
        </w:trPr>
        <w:tc>
          <w:tcPr>
            <w:tcW w:w="10140" w:type="dxa"/>
          </w:tcPr>
          <w:p w14:paraId="2CA1717B" w14:textId="77777777" w:rsidR="0029095C" w:rsidRDefault="0029095C"/>
          <w:p w14:paraId="488B4B7B" w14:textId="77777777" w:rsidR="0029095C" w:rsidRDefault="0029095C"/>
          <w:p w14:paraId="22DB98AF" w14:textId="77777777" w:rsidR="0029095C" w:rsidRDefault="0029095C"/>
          <w:p w14:paraId="5D7D33BC" w14:textId="77777777" w:rsidR="0029095C" w:rsidRDefault="0029095C"/>
          <w:p w14:paraId="27369C0C" w14:textId="77777777" w:rsidR="0029095C" w:rsidRDefault="0029095C"/>
          <w:p w14:paraId="750D4FA6" w14:textId="77777777" w:rsidR="0029095C" w:rsidRDefault="0029095C"/>
          <w:p w14:paraId="1AB58499" w14:textId="77777777" w:rsidR="0029095C" w:rsidRDefault="0029095C"/>
          <w:p w14:paraId="40ACADA2" w14:textId="77777777" w:rsidR="0029095C" w:rsidRDefault="0029095C"/>
          <w:p w14:paraId="3B8E07B4" w14:textId="77777777" w:rsidR="0029095C" w:rsidRDefault="0029095C"/>
          <w:p w14:paraId="52CA54CA" w14:textId="77777777" w:rsidR="0029095C" w:rsidRDefault="0029095C"/>
          <w:p w14:paraId="37239F67" w14:textId="77777777" w:rsidR="0029095C" w:rsidRDefault="0029095C"/>
          <w:p w14:paraId="6CA6F9F9" w14:textId="77777777" w:rsidR="0029095C" w:rsidRDefault="0029095C"/>
          <w:p w14:paraId="5CD0B134" w14:textId="77777777" w:rsidR="0029095C" w:rsidRPr="00CB0298" w:rsidRDefault="0029095C"/>
          <w:p w14:paraId="4D2AF986" w14:textId="77777777" w:rsidR="0029095C" w:rsidRDefault="0029095C"/>
          <w:p w14:paraId="04B35729" w14:textId="77777777" w:rsidR="0029095C" w:rsidRDefault="0029095C"/>
          <w:p w14:paraId="6F236C53" w14:textId="77777777" w:rsidR="0029095C" w:rsidRDefault="0029095C"/>
          <w:p w14:paraId="3CFFA157" w14:textId="77777777" w:rsidR="0029095C" w:rsidRDefault="00000000">
            <w:r>
              <w:rPr>
                <w:noProof/>
                <w:color w:val="000000" w:themeColor="text1"/>
              </w:rPr>
              <w:pict w14:anchorId="5BB8A9BC">
                <v:roundrect id="AutoShape 7" o:spid="_x0000_s2050" style="position:absolute;margin-left:64.8pt;margin-top:8.5pt;width:383.2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" filled="f" strokecolor="black [3213]" strokeweight="1.5pt"/>
              </w:pict>
            </w:r>
          </w:p>
          <w:p w14:paraId="35DD63BE" w14:textId="77777777" w:rsidR="0029095C" w:rsidRDefault="0029095C"/>
          <w:p w14:paraId="09484166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1: </w:t>
            </w:r>
          </w:p>
          <w:p w14:paraId="3401A392" w14:textId="77777777" w:rsid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СТРАТЕГИЈА </w:t>
            </w:r>
          </w:p>
          <w:p w14:paraId="3DECF6C0" w14:textId="77777777" w:rsidR="0029095C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ОБЕЗБЕЂЕЊА КВАЛИТЕТА</w:t>
            </w:r>
          </w:p>
          <w:p w14:paraId="46C2EE01" w14:textId="77777777" w:rsidR="0029095C" w:rsidRDefault="0029095C"/>
          <w:p w14:paraId="3F31766D" w14:textId="77777777" w:rsidR="0029095C" w:rsidRDefault="0029095C"/>
          <w:p w14:paraId="67991A2C" w14:textId="77777777" w:rsidR="0029095C" w:rsidRDefault="0029095C"/>
          <w:p w14:paraId="778DFD5F" w14:textId="77777777" w:rsidR="0029095C" w:rsidRDefault="0029095C"/>
          <w:p w14:paraId="1D3E1B3A" w14:textId="77777777" w:rsidR="0029095C" w:rsidRDefault="0029095C"/>
          <w:p w14:paraId="72A74155" w14:textId="77777777" w:rsidR="0029095C" w:rsidRDefault="0029095C"/>
          <w:p w14:paraId="15823BBD" w14:textId="77777777" w:rsidR="0029095C" w:rsidRDefault="0029095C"/>
          <w:p w14:paraId="403A7DD4" w14:textId="77777777" w:rsidR="0029095C" w:rsidRDefault="0029095C"/>
          <w:p w14:paraId="1EFA0263" w14:textId="77777777" w:rsidR="0029095C" w:rsidRDefault="0029095C"/>
          <w:p w14:paraId="783A57AB" w14:textId="77777777" w:rsidR="0029095C" w:rsidRDefault="0029095C"/>
          <w:p w14:paraId="714234CD" w14:textId="77777777" w:rsidR="0029095C" w:rsidRDefault="0029095C"/>
          <w:p w14:paraId="13F09C14" w14:textId="77777777" w:rsidR="0029095C" w:rsidRDefault="0029095C"/>
          <w:p w14:paraId="10A06BA2" w14:textId="77777777" w:rsidR="0029095C" w:rsidRDefault="0029095C"/>
          <w:p w14:paraId="754DDA73" w14:textId="77777777" w:rsidR="0029095C" w:rsidRDefault="0029095C"/>
          <w:p w14:paraId="46C25B3F" w14:textId="77777777" w:rsidR="009B02D2" w:rsidRDefault="009B02D2"/>
          <w:p w14:paraId="29336843" w14:textId="77777777" w:rsidR="0029095C" w:rsidRDefault="0029095C"/>
          <w:p w14:paraId="3433AD27" w14:textId="77777777" w:rsidR="0029095C" w:rsidRDefault="0029095C"/>
          <w:p w14:paraId="3D8690B4" w14:textId="77777777" w:rsidR="0029095C" w:rsidRDefault="0029095C"/>
          <w:p w14:paraId="6E6A1391" w14:textId="77777777" w:rsidR="0029095C" w:rsidRDefault="0029095C"/>
          <w:p w14:paraId="767D9B22" w14:textId="77777777" w:rsidR="0029095C" w:rsidRDefault="0029095C"/>
          <w:p w14:paraId="4BB55220" w14:textId="77777777" w:rsidR="0029095C" w:rsidRDefault="0029095C"/>
          <w:p w14:paraId="061C6953" w14:textId="77777777" w:rsidR="0029095C" w:rsidRDefault="0029095C"/>
          <w:p w14:paraId="0B014483" w14:textId="77777777" w:rsidR="0029095C" w:rsidRDefault="0029095C"/>
          <w:p w14:paraId="4AAE0146" w14:textId="77777777" w:rsidR="0029095C" w:rsidRDefault="0029095C"/>
          <w:p w14:paraId="1073B04D" w14:textId="77777777" w:rsidR="00892AF5" w:rsidRDefault="00892AF5"/>
          <w:p w14:paraId="413F3398" w14:textId="77777777" w:rsidR="00834D85" w:rsidRPr="00834D85" w:rsidRDefault="00834D85"/>
          <w:tbl>
            <w:tblPr>
              <w:tblW w:w="0" w:type="auto"/>
              <w:tblCellMar>
                <w:top w:w="28" w:type="dxa"/>
                <w:bottom w:w="28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2F580E34" w14:textId="77777777" w:rsidTr="00DA2F37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30AB1BD9" w14:textId="77777777" w:rsidR="00834D85" w:rsidRPr="00834D85" w:rsidRDefault="000779C8" w:rsidP="00834D85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 1: Стратегија обезбеђења квалитета</w:t>
                  </w:r>
                </w:p>
              </w:tc>
            </w:tr>
            <w:tr w:rsidR="00834D85" w14:paraId="322735FF" w14:textId="77777777" w:rsidTr="00DA2F37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025A779" w14:textId="77777777" w:rsidR="007238A4" w:rsidRPr="00C03CF2" w:rsidRDefault="007238A4" w:rsidP="007238A4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  <w:bCs/>
                    </w:rPr>
                    <w:t>тренутне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  <w:bCs/>
                    </w:rPr>
                    <w:t>ситуације</w:t>
                  </w:r>
                </w:p>
                <w:p w14:paraId="1F96AAD8" w14:textId="77777777" w:rsidR="00A14409" w:rsidRPr="003153A8" w:rsidRDefault="00A14409" w:rsidP="00A14409">
                  <w:pPr>
                    <w:spacing w:before="120" w:after="60"/>
                    <w:jc w:val="both"/>
                    <w:rPr>
                      <w:rFonts w:asciiTheme="majorHAnsi" w:hAnsiTheme="majorHAnsi"/>
                      <w:noProof/>
                      <w:lang w:val="sr-Cyrl-CS"/>
                    </w:rPr>
                  </w:pPr>
                  <w:r w:rsidRPr="003153A8">
                    <w:rPr>
                      <w:rFonts w:asciiTheme="majorHAnsi" w:hAnsiTheme="majorHAnsi"/>
                      <w:noProof/>
                      <w:lang w:val="sr-Cyrl-CS"/>
                    </w:rPr>
                    <w:t>Питање квалитета је</w:t>
                  </w:r>
                  <w:r w:rsidR="00C85FE1" w:rsidRPr="003153A8">
                    <w:rPr>
                      <w:rFonts w:asciiTheme="majorHAnsi" w:hAnsiTheme="majorHAnsi"/>
                      <w:noProof/>
                      <w:lang w:val="sr-Cyrl-CS"/>
                    </w:rPr>
                    <w:t>,</w:t>
                  </w:r>
                  <w:r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 за </w:t>
                  </w:r>
                  <w:r w:rsidRPr="003153A8">
                    <w:rPr>
                      <w:rFonts w:asciiTheme="majorHAnsi" w:hAnsiTheme="majorHAnsi"/>
                    </w:rPr>
                    <w:t>Академију</w:t>
                  </w:r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</w:rPr>
                    <w:t>техничко-васпитачких</w:t>
                  </w:r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</w:rPr>
                    <w:t>струковних</w:t>
                  </w:r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</w:rPr>
                    <w:t>студија (у да</w:t>
                  </w:r>
                  <w:r w:rsidR="009B60BF">
                    <w:rPr>
                      <w:rFonts w:asciiTheme="majorHAnsi" w:hAnsiTheme="majorHAnsi"/>
                    </w:rPr>
                    <w:t>-</w:t>
                  </w:r>
                  <w:r w:rsidRPr="003153A8">
                    <w:rPr>
                      <w:rFonts w:asciiTheme="majorHAnsi" w:hAnsiTheme="majorHAnsi"/>
                    </w:rPr>
                    <w:t>љем</w:t>
                  </w:r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</w:rPr>
                    <w:t>тексту</w:t>
                  </w:r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</w:rPr>
                    <w:t>Академија)</w:t>
                  </w:r>
                  <w:r w:rsidR="00C85FE1" w:rsidRPr="003153A8">
                    <w:rPr>
                      <w:rFonts w:asciiTheme="majorHAnsi" w:hAnsiTheme="majorHAnsi"/>
                    </w:rPr>
                    <w:t>,</w:t>
                  </w:r>
                  <w:r w:rsidR="003153A8" w:rsidRPr="003153A8">
                    <w:rPr>
                      <w:rFonts w:asciiTheme="majorHAnsi" w:hAnsiTheme="majorHAnsi"/>
                    </w:rPr>
                    <w:t xml:space="preserve"> </w:t>
                  </w:r>
                  <w:r w:rsidR="00267D98"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кључно питање функционисања високообразовних установа и </w:t>
                  </w:r>
                  <w:r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зато она </w:t>
                  </w:r>
                  <w:r w:rsidR="00267D98" w:rsidRPr="003153A8">
                    <w:rPr>
                      <w:rFonts w:asciiTheme="majorHAnsi" w:hAnsiTheme="majorHAnsi"/>
                      <w:noProof/>
                      <w:lang w:val="sr-Cyrl-CS"/>
                    </w:rPr>
                    <w:t>улаже у развој политике квалитета</w:t>
                  </w:r>
                  <w:r w:rsidRPr="003153A8">
                    <w:rPr>
                      <w:rFonts w:asciiTheme="majorHAnsi" w:hAnsiTheme="majorHAnsi"/>
                      <w:noProof/>
                      <w:lang w:val="sr-Cyrl-CS"/>
                    </w:rPr>
                    <w:t>,</w:t>
                  </w:r>
                  <w:r w:rsidR="00267D98"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 у</w:t>
                  </w:r>
                  <w:r w:rsidR="00192611">
                    <w:rPr>
                      <w:rFonts w:asciiTheme="majorHAnsi" w:hAnsiTheme="majorHAnsi"/>
                      <w:noProof/>
                      <w:lang w:val="sr-Cyrl-CS"/>
                    </w:rPr>
                    <w:t xml:space="preserve"> свим областима свога рада и на </w:t>
                  </w:r>
                  <w:r w:rsidR="00267D98" w:rsidRPr="003153A8">
                    <w:rPr>
                      <w:rFonts w:asciiTheme="majorHAnsi" w:hAnsiTheme="majorHAnsi"/>
                      <w:noProof/>
                      <w:lang w:val="sr-Cyrl-CS"/>
                    </w:rPr>
                    <w:t xml:space="preserve">свим нивоима. </w:t>
                  </w:r>
                </w:p>
                <w:p w14:paraId="7224EACB" w14:textId="77777777" w:rsidR="00A87527" w:rsidRPr="00A15501" w:rsidRDefault="00A14409" w:rsidP="00A87527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Академија</w:t>
                  </w:r>
                  <w:r w:rsidR="00267D98" w:rsidRPr="00A15501">
                    <w:rPr>
                      <w:rFonts w:asciiTheme="majorHAnsi" w:hAnsiTheme="majorHAnsi"/>
                      <w:lang w:val="sr-Cyrl-CS"/>
                    </w:rPr>
                    <w:t xml:space="preserve"> је</w:t>
                  </w:r>
                  <w:r w:rsidR="00267D98" w:rsidRPr="00A15501">
                    <w:rPr>
                      <w:rFonts w:asciiTheme="majorHAnsi" w:hAnsiTheme="majorHAnsi"/>
                    </w:rPr>
                    <w:t xml:space="preserve"> у свом</w:t>
                  </w:r>
                  <w:r w:rsidR="003153A8">
                    <w:rPr>
                      <w:rFonts w:asciiTheme="majorHAnsi" w:hAnsiTheme="majorHAnsi"/>
                    </w:rPr>
                    <w:t xml:space="preserve"> </w:t>
                  </w:r>
                  <w:hyperlink r:id="rId10" w:history="1">
                    <w:r w:rsidR="00267D98" w:rsidRPr="00A15501">
                      <w:rPr>
                        <w:rStyle w:val="Hyperlink"/>
                        <w:rFonts w:asciiTheme="majorHAnsi" w:hAnsiTheme="majorHAnsi"/>
                      </w:rPr>
                      <w:t>Статуту,</w:t>
                    </w:r>
                  </w:hyperlink>
                  <w:r w:rsidR="003153A8">
                    <w:t xml:space="preserve"> 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(</w:t>
                  </w:r>
                  <w:r w:rsidR="00267D98" w:rsidRPr="00A15501">
                    <w:rPr>
                      <w:rFonts w:asciiTheme="majorHAnsi" w:hAnsiTheme="majorHAnsi"/>
                      <w:lang w:val="sr-Cyrl-CS"/>
                    </w:rPr>
                    <w:t>одредбама члан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ова 160 до 162.)</w:t>
                  </w:r>
                  <w:r w:rsidR="00267D98" w:rsidRPr="00A15501">
                    <w:rPr>
                      <w:rFonts w:asciiTheme="majorHAnsi" w:hAnsiTheme="majorHAnsi"/>
                    </w:rPr>
                    <w:t>,</w:t>
                  </w:r>
                  <w:r w:rsidR="00267D98" w:rsidRPr="00A15501">
                    <w:rPr>
                      <w:rFonts w:asciiTheme="majorHAnsi" w:hAnsiTheme="majorHAnsi"/>
                      <w:lang w:val="sr-Cyrl-CS"/>
                    </w:rPr>
                    <w:t xml:space="preserve"> дефинисала поступке везане за праћење, обезбеђивање, унапређење и развој квалитета студијских про</w:t>
                  </w:r>
                  <w:r w:rsidR="00C00689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267D98" w:rsidRPr="00A15501">
                    <w:rPr>
                      <w:rFonts w:asciiTheme="majorHAnsi" w:hAnsiTheme="majorHAnsi"/>
                      <w:lang w:val="sr-Cyrl-CS"/>
                    </w:rPr>
                    <w:t xml:space="preserve">грама, наставног процеса и услова рада и дефинисала 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обавезе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Комисиј</w:t>
                  </w:r>
                  <w:r w:rsidR="00C85FE1" w:rsidRPr="00A15501">
                    <w:rPr>
                      <w:rFonts w:asciiTheme="majorHAnsi" w:hAnsiTheme="majorHAnsi"/>
                      <w:lang w:val="sr-Cyrl-CS"/>
                    </w:rPr>
                    <w:t>е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 xml:space="preserve"> за само</w:t>
                  </w:r>
                  <w:r w:rsidR="00C00689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A87527" w:rsidRPr="00A15501">
                    <w:rPr>
                      <w:rFonts w:asciiTheme="majorHAnsi" w:hAnsiTheme="majorHAnsi"/>
                      <w:lang w:val="sr-Cyrl-CS"/>
                    </w:rPr>
                    <w:t>вредновање и унутрашње обезбеђење квалитета Академије.</w:t>
                  </w:r>
                </w:p>
                <w:p w14:paraId="0D507525" w14:textId="77777777" w:rsidR="00406630" w:rsidRPr="003153A8" w:rsidRDefault="00267D98" w:rsidP="00C85FE1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hyperlink r:id="rId11" w:history="1"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Стратегија обезбеђења квалитета</w:t>
                    </w:r>
                  </w:hyperlink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, 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 xml:space="preserve">представља 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основни стратешки развојни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 xml:space="preserve"> доку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>мент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,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 xml:space="preserve"> који јасно указује на то да је </w:t>
                  </w:r>
                  <w:r w:rsidR="00A87527" w:rsidRPr="003153A8">
                    <w:rPr>
                      <w:rFonts w:asciiTheme="majorHAnsi" w:hAnsiTheme="majorHAnsi"/>
                      <w:lang w:val="sr-Cyrl-CS"/>
                    </w:rPr>
                    <w:t>Академија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 xml:space="preserve">, недвосмислено посвећена политици квалитета кроз континуирани и систематски рад на унапређењу квалитета. </w:t>
                  </w:r>
                  <w:r w:rsidR="00406630" w:rsidRPr="003153A8">
                    <w:rPr>
                      <w:rFonts w:asciiTheme="majorHAnsi" w:hAnsiTheme="majorHAnsi"/>
                      <w:lang w:val="sr-Cyrl-CS"/>
                    </w:rPr>
                    <w:t>Стратегију је донео орган управљања, Савет Академије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,</w:t>
                  </w:r>
                  <w:r w:rsidR="00406630" w:rsidRPr="003153A8">
                    <w:rPr>
                      <w:rFonts w:asciiTheme="majorHAnsi" w:hAnsiTheme="majorHAnsi"/>
                      <w:lang w:val="sr-Cyrl-CS"/>
                    </w:rPr>
                    <w:t xml:space="preserve"> 18.09.2019.године. Усвојену Стратегију, Академија је објавила на сајту установе и тиме је промовише како у самој Академији, тако и у јавности.</w:t>
                  </w:r>
                </w:p>
                <w:p w14:paraId="62AAC89B" w14:textId="77777777" w:rsidR="00A87527" w:rsidRPr="003153A8" w:rsidRDefault="00406630" w:rsidP="00C85FE1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3153A8">
                    <w:rPr>
                      <w:rFonts w:asciiTheme="majorHAnsi" w:hAnsiTheme="majorHAnsi"/>
                      <w:lang w:val="sr-Cyrl-CS"/>
                    </w:rPr>
                    <w:t>Стратегијом се Академија опредељује за непрекидно унапређење квалитета студи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>јских програма, наставног процеса, н</w:t>
                  </w:r>
                  <w:r w:rsidR="003153A8" w:rsidRPr="003153A8">
                    <w:rPr>
                      <w:rFonts w:asciiTheme="majorHAnsi" w:hAnsiTheme="majorHAnsi"/>
                    </w:rPr>
                    <w:t>а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>ставника и сарадника, студената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, библиоте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чких и информатичких ресурса, управљања Академијом и њенм одсецима, фина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C85FE1" w:rsidRPr="003153A8">
                    <w:rPr>
                      <w:rFonts w:asciiTheme="majorHAnsi" w:hAnsiTheme="majorHAnsi"/>
                      <w:lang w:val="sr-Cyrl-CS"/>
                    </w:rPr>
                    <w:t>нсирања, простора и опреме, ненаставних активности и услова рада.</w:t>
                  </w:r>
                </w:p>
                <w:p w14:paraId="4CDEDD0A" w14:textId="77777777" w:rsidR="00A87527" w:rsidRPr="00A15501" w:rsidRDefault="00C85FE1" w:rsidP="00A87527">
                  <w:p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Циљ израде Стратегије лежи у намери Академије да створи јасан оквир за све радње које се предузимају у циљу:</w:t>
                  </w:r>
                </w:p>
                <w:p w14:paraId="1CD2B6B4" w14:textId="77777777" w:rsidR="00C85FE1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ш</w:t>
                  </w:r>
                  <w:r w:rsidR="00C85FE1" w:rsidRPr="00A15501">
                    <w:rPr>
                      <w:rFonts w:asciiTheme="majorHAnsi" w:hAnsiTheme="majorHAnsi"/>
                      <w:lang w:val="sr-Cyrl-CS"/>
                    </w:rPr>
                    <w:t>коловања квалитетног стручњака</w:t>
                  </w:r>
                </w:p>
                <w:p w14:paraId="5AB7EAB6" w14:textId="77777777" w:rsidR="00C85FE1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</w:t>
                  </w:r>
                  <w:r w:rsidR="00C85FE1" w:rsidRPr="00A15501">
                    <w:rPr>
                      <w:rFonts w:asciiTheme="majorHAnsi" w:hAnsiTheme="majorHAnsi"/>
                      <w:lang w:val="sr-Cyrl-CS"/>
                    </w:rPr>
                    <w:t>римене техничко-технолошких и информационих достигнућа у практичном раду са студентима</w:t>
                  </w:r>
                </w:p>
                <w:p w14:paraId="5CB4215B" w14:textId="77777777" w:rsidR="00C85FE1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к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онстантног унапређења наставног и ваннаставног процеса</w:t>
                  </w:r>
                </w:p>
                <w:p w14:paraId="057086B7" w14:textId="77777777" w:rsidR="00FA1D9E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н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еговањ</w:t>
                  </w:r>
                  <w:r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 xml:space="preserve"> развојног духа и критичког мишљења студената</w:t>
                  </w:r>
                </w:p>
                <w:p w14:paraId="48ECC81D" w14:textId="77777777" w:rsidR="00FA1D9E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о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стварења високог квалитета процеса студија</w:t>
                  </w:r>
                </w:p>
                <w:p w14:paraId="3EC5CBC3" w14:textId="77777777" w:rsidR="00FA1D9E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д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авањ</w:t>
                  </w:r>
                  <w:r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 xml:space="preserve"> доприноса науци и струци </w:t>
                  </w:r>
                </w:p>
                <w:p w14:paraId="4526DFC4" w14:textId="77777777" w:rsidR="00FA1D9E" w:rsidRPr="00A15501" w:rsidRDefault="00192611" w:rsidP="00C85FE1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р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азвијањ</w:t>
                  </w:r>
                  <w:r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 xml:space="preserve"> коректног и узајамно корисног односа са студентима, другим образовним установама, државним органима и међународним институција</w:t>
                  </w:r>
                  <w:r w:rsidR="00BF5997" w:rsidRPr="00A1550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ма.</w:t>
                  </w:r>
                </w:p>
                <w:p w14:paraId="7F633991" w14:textId="77777777" w:rsidR="00FA1D9E" w:rsidRPr="00A15501" w:rsidRDefault="00192611" w:rsidP="00BF5997">
                  <w:pPr>
                    <w:pStyle w:val="ListParagraph"/>
                    <w:numPr>
                      <w:ilvl w:val="0"/>
                      <w:numId w:val="19"/>
                    </w:num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подстицања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 xml:space="preserve"> мл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FA1D9E" w:rsidRPr="00A15501">
                    <w:rPr>
                      <w:rFonts w:asciiTheme="majorHAnsi" w:hAnsiTheme="majorHAnsi"/>
                      <w:lang w:val="sr-Cyrl-CS"/>
                    </w:rPr>
                    <w:t>дих сарадника у даљем усавршавању итд.</w:t>
                  </w:r>
                </w:p>
                <w:p w14:paraId="1CA467F0" w14:textId="77777777" w:rsidR="003153A8" w:rsidRPr="003153A8" w:rsidRDefault="00154400" w:rsidP="005F6771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Стратегија обезбеђења квалитета садржи:</w:t>
                  </w:r>
                  <w:r w:rsidR="003153A8" w:rsidRPr="003153A8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опредељење високошколске установе да непрекидно и систематски ради на унапр</w:t>
                  </w:r>
                  <w:r w:rsidR="00A27018" w:rsidRPr="003153A8">
                    <w:rPr>
                      <w:rFonts w:asciiTheme="majorHAnsi" w:hAnsiTheme="majorHAnsi"/>
                      <w:bCs/>
                      <w:lang w:val="sr-Cyrl-CS"/>
                    </w:rPr>
                    <w:t xml:space="preserve">еђењу квалитета својих програма, мере за обезбеђење квалитета, 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субјекте обезбеђења квалитета (стручна тела, студенте, не</w:t>
                  </w:r>
                  <w:r w:rsidR="00192611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наставно особље) и њихова</w:t>
                  </w:r>
                  <w:r w:rsidR="00A27018" w:rsidRPr="003153A8">
                    <w:rPr>
                      <w:rFonts w:asciiTheme="majorHAnsi" w:hAnsiTheme="majorHAnsi"/>
                      <w:bCs/>
                      <w:lang w:val="sr-Cyrl-CS"/>
                    </w:rPr>
                    <w:t xml:space="preserve"> права и обавезе у том поступку, 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области обезбеђења квалитета (студијски програми, настава, истраживање, вредновање студената, уџбе</w:t>
                  </w:r>
                  <w:r w:rsidR="009B60BF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3153A8">
                    <w:rPr>
                      <w:rFonts w:asciiTheme="majorHAnsi" w:hAnsiTheme="majorHAnsi"/>
                      <w:bCs/>
                      <w:lang w:val="sr-Cyrl-CS"/>
                    </w:rPr>
                    <w:t>ници и литература, ресурси, ненаст</w:t>
                  </w:r>
                  <w:r w:rsidR="00A27018" w:rsidRPr="003153A8">
                    <w:rPr>
                      <w:rFonts w:asciiTheme="majorHAnsi" w:hAnsiTheme="majorHAnsi"/>
                      <w:bCs/>
                      <w:lang w:val="sr-Cyrl-CS"/>
                    </w:rPr>
                    <w:t>авна подршка, процес управљања).</w:t>
                  </w:r>
                </w:p>
                <w:p w14:paraId="6A342A31" w14:textId="77777777" w:rsidR="005F6771" w:rsidRPr="003153A8" w:rsidRDefault="00734A97" w:rsidP="005F6771">
                  <w:pPr>
                    <w:spacing w:after="60"/>
                    <w:jc w:val="both"/>
                    <w:rPr>
                      <w:rFonts w:asciiTheme="majorHAnsi" w:hAnsiTheme="majorHAnsi"/>
                      <w:color w:val="002060"/>
                      <w:lang w:val="sr-Cyrl-CS"/>
                    </w:rPr>
                  </w:pPr>
                  <w:r w:rsidRPr="00734A97">
                    <w:rPr>
                      <w:rFonts w:asciiTheme="majorHAnsi" w:hAnsiTheme="majorHAnsi"/>
                      <w:lang w:val="sr-Cyrl-CS"/>
                    </w:rPr>
                    <w:t xml:space="preserve">Стратегија је предмет повремених анализа, преиспитивања и унапређења, нарочито </w:t>
                  </w:r>
                  <w:r w:rsidR="000909A1" w:rsidRPr="00A15501">
                    <w:rPr>
                      <w:rFonts w:asciiTheme="majorHAnsi" w:hAnsiTheme="majorHAnsi"/>
                      <w:color w:val="002060"/>
                      <w:lang w:val="sr-Cyrl-CS"/>
                    </w:rPr>
                    <w:t xml:space="preserve">у 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t xml:space="preserve">периодима самовредновања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студијских програма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 xml:space="preserve">.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Академија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 xml:space="preserve"> се определила да пе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 xml:space="preserve">рманентно прати и уважава нове идеје, принципе и трендове у развоју европског високошколског образовања и имплементира их у своју Стратегију обезбеђења квалитета.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С обзиром да ово није једноставан задатак, Академија је формирала По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ткомисије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t xml:space="preserve"> за самовредновање и унутрашње обезбеђење квалитета, на нивоу сваког одсека, које се, између осталог баве и анализом Стратегије, у смислу проширења или 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lastRenderedPageBreak/>
                    <w:t>кориговања њених задатака, циљева и мисије. Поред тога на нивоу Ак</w:t>
                  </w:r>
                  <w:r w:rsidR="00294CB6" w:rsidRPr="00A15501"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t>демије посто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0909A1" w:rsidRPr="00A15501">
                    <w:rPr>
                      <w:rFonts w:asciiTheme="majorHAnsi" w:hAnsiTheme="majorHAnsi"/>
                      <w:lang w:val="sr-Cyrl-CS"/>
                    </w:rPr>
                    <w:t xml:space="preserve">ји Комисија за самовредновање и унутрашње обезбеђење квалитета, чији је задатак да обједињује резултате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реализованих активности на</w:t>
                  </w:r>
                  <w:r w:rsidR="003153A8" w:rsidRP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Pr="003153A8">
                    <w:rPr>
                      <w:rFonts w:asciiTheme="majorHAnsi" w:hAnsiTheme="majorHAnsi"/>
                      <w:lang w:val="sr-Cyrl-CS"/>
                    </w:rPr>
                    <w:t>нивоу</w:t>
                  </w:r>
                  <w:r w:rsidR="003153A8" w:rsidRP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="000909A1" w:rsidRPr="003153A8">
                    <w:rPr>
                      <w:rFonts w:asciiTheme="majorHAnsi" w:hAnsiTheme="majorHAnsi"/>
                      <w:lang w:val="sr-Cyrl-CS"/>
                    </w:rPr>
                    <w:t>одсека, као и да спро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294CB6" w:rsidRPr="003153A8">
                    <w:rPr>
                      <w:rFonts w:asciiTheme="majorHAnsi" w:hAnsiTheme="majorHAnsi"/>
                      <w:lang w:val="sr-Cyrl-CS"/>
                    </w:rPr>
                    <w:t>води активности обезбеђења квалитета на нивоу целе Академије. Наравно, оства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294CB6" w:rsidRPr="003153A8">
                    <w:rPr>
                      <w:rFonts w:asciiTheme="majorHAnsi" w:hAnsiTheme="majorHAnsi"/>
                      <w:lang w:val="sr-Cyrl-CS"/>
                    </w:rPr>
                    <w:t xml:space="preserve">ривање циљева Стратегије 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>подразумева укључивање свих запослених у школи</w:t>
                  </w:r>
                  <w:r w:rsidR="00D8098D" w:rsidRPr="003153A8">
                    <w:rPr>
                      <w:rFonts w:asciiTheme="majorHAnsi" w:hAnsiTheme="majorHAnsi"/>
                    </w:rPr>
                    <w:t>,</w:t>
                  </w:r>
                  <w:r w:rsidR="00D8098D" w:rsidRPr="003153A8">
                    <w:rPr>
                      <w:rFonts w:asciiTheme="majorHAnsi" w:hAnsiTheme="majorHAnsi"/>
                      <w:lang w:val="sr-Cyrl-CS"/>
                    </w:rPr>
                    <w:t xml:space="preserve"> као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 xml:space="preserve"> и пуну партиципацију студената у систему обезбеђења квалитета. 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>Без обзира на по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>стигнуте нивое квалитета у појединим или чак и свим сегметима рада установе, неопходно је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 xml:space="preserve"> веће лично залагање и повећање одговорности свих запослених и сту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>дената за поштовање утврђених стандарда квалитета. Поштовањем утврђених ста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>ндарда квалитета, студентима се обезбеђују знања и вештине, неопходне за укљу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 xml:space="preserve">чивање у радни процес. </w:t>
                  </w:r>
                </w:p>
                <w:p w14:paraId="6E4388FE" w14:textId="77777777" w:rsidR="00BB04FE" w:rsidRPr="00A15501" w:rsidRDefault="00FA1D9E" w:rsidP="005F6771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Академија обезбеђује квалитет образовања и рада у складу са усвојеним доку</w:t>
                  </w:r>
                  <w:r w:rsidR="00C00689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ментима </w:t>
                  </w:r>
                  <w:r w:rsidR="000A3653" w:rsidRPr="00A15501">
                    <w:rPr>
                      <w:rFonts w:asciiTheme="majorHAnsi" w:hAnsiTheme="majorHAnsi"/>
                      <w:lang w:val="sr-Cyrl-CS"/>
                    </w:rPr>
                    <w:t>у области високог образовања: Законом о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 xml:space="preserve"> високом образовању, Прави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>лнику о стандардима за самовредновање и оцењивање квалитета високошколских установа и студијских програма, Правилником о стандардима и поступку за акре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>дитацију студијских програма и Правилником за споља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>ш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 xml:space="preserve">њу проверу квалитета високошколских установа. 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Поред 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Стратегије обезбеђења квалитета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, Академија има 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још низ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>правилника и процедура, које имају за циљ подизање ефикасности наста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 xml:space="preserve">вног процеса и рада установе уопште. Ови документи 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>покрива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ју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 област обезбеђења и праћења квалитета свих аспеката рада </w:t>
                  </w:r>
                  <w:r w:rsidR="005F6771" w:rsidRPr="00A15501">
                    <w:rPr>
                      <w:rFonts w:asciiTheme="majorHAnsi" w:hAnsiTheme="majorHAnsi"/>
                      <w:lang w:val="sr-Cyrl-CS"/>
                    </w:rPr>
                    <w:t>Академије</w:t>
                  </w:r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 и то:   </w:t>
                  </w:r>
                  <w:hyperlink r:id="rId12" w:history="1"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 xml:space="preserve">Правилник о стандардима и поступцима за </w:t>
                    </w:r>
                    <w:r w:rsidR="00154400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самовре</w:t>
                    </w:r>
                    <w:r w:rsidR="003153A8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-</w:t>
                    </w:r>
                    <w:r w:rsidR="00154400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 xml:space="preserve">дновање и унутрашње </w:t>
                    </w:r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обезбеђење квалитета</w:t>
                    </w:r>
                  </w:hyperlink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 xml:space="preserve">, </w:t>
                  </w:r>
                  <w:hyperlink r:id="rId13" w:history="1">
                    <w:r w:rsidR="00A27018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Правилник о обезбеђењу, контроли и унапређењу квалитета</w:t>
                    </w:r>
                  </w:hyperlink>
                  <w:r w:rsidR="00A27018" w:rsidRPr="00A15501">
                    <w:rPr>
                      <w:rFonts w:asciiTheme="majorHAnsi" w:hAnsiTheme="majorHAnsi"/>
                      <w:lang w:val="sr-Cyrl-CS"/>
                    </w:rPr>
                    <w:t>,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hyperlink r:id="rId14" w:history="1">
                    <w:r w:rsidR="00BB04FE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Правилник о раду Комисије за самовредновање у унутрашње обезбеђење квалитета</w:t>
                    </w:r>
                  </w:hyperlink>
                  <w:r w:rsidR="00BB04FE" w:rsidRPr="00A15501">
                    <w:rPr>
                      <w:rFonts w:asciiTheme="majorHAnsi" w:hAnsiTheme="majorHAnsi"/>
                      <w:lang w:val="sr-Cyrl-CS"/>
                    </w:rPr>
                    <w:t xml:space="preserve">, </w:t>
                  </w:r>
                  <w:hyperlink r:id="rId15" w:history="1">
                    <w:r w:rsidR="00BB04FE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Правилник о самовреднова</w:t>
                    </w:r>
                    <w:r w:rsidR="00192611">
                      <w:rPr>
                        <w:rStyle w:val="Hyperlink"/>
                        <w:rFonts w:asciiTheme="majorHAnsi" w:hAnsiTheme="majorHAnsi"/>
                      </w:rPr>
                      <w:t>-</w:t>
                    </w:r>
                    <w:r w:rsidR="00BB04FE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њу</w:t>
                    </w:r>
                  </w:hyperlink>
                  <w:r w:rsidR="00BB04FE" w:rsidRPr="00A15501">
                    <w:rPr>
                      <w:rFonts w:asciiTheme="majorHAnsi" w:hAnsiTheme="majorHAnsi"/>
                      <w:lang w:val="sr-Cyrl-CS"/>
                    </w:rPr>
                    <w:t xml:space="preserve">, </w:t>
                  </w:r>
                  <w:hyperlink r:id="rId16" w:history="1">
                    <w:r w:rsidR="00BB04FE"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Правилник о студентском вредновању квалитета студија, наставе и педагошког рада наставника</w:t>
                    </w:r>
                  </w:hyperlink>
                  <w:r w:rsidR="00BB04FE" w:rsidRPr="00A15501">
                    <w:rPr>
                      <w:rFonts w:asciiTheme="majorHAnsi" w:hAnsiTheme="majorHAnsi"/>
                      <w:lang w:val="sr-Cyrl-CS"/>
                    </w:rPr>
                    <w:t xml:space="preserve"> итд.    </w:t>
                  </w:r>
                </w:p>
                <w:p w14:paraId="2FEB6765" w14:textId="77777777" w:rsidR="00FA1D9E" w:rsidRPr="00A15501" w:rsidRDefault="00FA1D9E" w:rsidP="00A27018">
                  <w:pPr>
                    <w:spacing w:after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Мерама се на детаљан начин утврђује поступак субјеката у систему обезбеђења ква</w:t>
                  </w:r>
                  <w:r w:rsidR="0019261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литета. </w:t>
                  </w:r>
                  <w:r w:rsidR="00154400" w:rsidRPr="00A15501">
                    <w:rPr>
                      <w:rFonts w:asciiTheme="majorHAnsi" w:hAnsiTheme="majorHAnsi"/>
                      <w:lang w:val="sr-Cyrl-CS"/>
                    </w:rPr>
                    <w:t>Академија спроводи следе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 xml:space="preserve">ће мере за обезбеђење квалитета: </w:t>
                  </w:r>
                </w:p>
                <w:p w14:paraId="74EA4F8D" w14:textId="77777777" w:rsidR="00D8098D" w:rsidRPr="00A15501" w:rsidRDefault="00192611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ко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нтинуирани рад на осавремењавању наставних садржаја и унапређењу квалитета својих студијских програма,</w:t>
                  </w:r>
                </w:p>
                <w:p w14:paraId="5BFAC776" w14:textId="77777777" w:rsidR="00D8098D" w:rsidRPr="00A15501" w:rsidRDefault="00192611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о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безбеђење наставном и ненаставном особљу могућ</w:t>
                  </w:r>
                  <w:r w:rsidR="003153A8">
                    <w:rPr>
                      <w:rFonts w:asciiTheme="majorHAnsi" w:hAnsiTheme="majorHAnsi"/>
                      <w:lang w:val="sr-Cyrl-CS"/>
                    </w:rPr>
                    <w:t>н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ост непрекидног стучног усавршавања,</w:t>
                  </w:r>
                </w:p>
                <w:p w14:paraId="3EC2E1CB" w14:textId="77777777" w:rsidR="00D8098D" w:rsidRPr="00A15501" w:rsidRDefault="00192611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 xml:space="preserve">раћење квалитета и реализације плана наставе, </w:t>
                  </w:r>
                </w:p>
                <w:p w14:paraId="555D001D" w14:textId="77777777" w:rsidR="00D8098D" w:rsidRPr="00A15501" w:rsidRDefault="00264308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о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безбеђење учешћа студената у спровођењу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 xml:space="preserve"> активности и поступака за обе</w:t>
                  </w:r>
                  <w:r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збеђење квалитета,</w:t>
                  </w:r>
                </w:p>
                <w:p w14:paraId="6BDA2A6E" w14:textId="77777777" w:rsidR="00D8098D" w:rsidRPr="00A15501" w:rsidRDefault="00264308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раћење потреба и захтева тржишта за појединим образовним профилима и у складу са тиме прилагођава исходе процеса учења,</w:t>
                  </w:r>
                </w:p>
                <w:p w14:paraId="2B9AAC42" w14:textId="77777777" w:rsidR="00406630" w:rsidRPr="00A15501" w:rsidRDefault="00264308" w:rsidP="00D8098D">
                  <w:pPr>
                    <w:pStyle w:val="ListParagraph"/>
                    <w:numPr>
                      <w:ilvl w:val="0"/>
                      <w:numId w:val="21"/>
                    </w:numPr>
                    <w:ind w:left="444" w:hanging="283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>
                    <w:rPr>
                      <w:rFonts w:asciiTheme="majorHAnsi" w:hAnsiTheme="majorHAnsi"/>
                      <w:lang w:val="sr-Cyrl-CS"/>
                    </w:rPr>
                    <w:t>п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ериодично спровођење поступка с</w:t>
                  </w:r>
                  <w:r w:rsidR="000862D4" w:rsidRPr="00A15501">
                    <w:rPr>
                      <w:rFonts w:asciiTheme="majorHAnsi" w:hAnsiTheme="majorHAnsi"/>
                      <w:lang w:val="sr-Cyrl-CS"/>
                    </w:rPr>
                    <w:t>амовредновањ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а</w:t>
                  </w:r>
                  <w:r w:rsidR="000862D4" w:rsidRPr="00A15501">
                    <w:rPr>
                      <w:rFonts w:asciiTheme="majorHAnsi" w:hAnsiTheme="majorHAnsi"/>
                      <w:lang w:val="sr-Cyrl-CS"/>
                    </w:rPr>
                    <w:t xml:space="preserve"> и оцењивање квалитета</w:t>
                  </w:r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студијских програма, наставног процеса, наставног и ненаставног особља, би</w:t>
                  </w:r>
                  <w:r w:rsidR="00650BCA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FC34D5" w:rsidRPr="00A15501">
                    <w:rPr>
                      <w:rFonts w:asciiTheme="majorHAnsi" w:hAnsiTheme="majorHAnsi"/>
                      <w:lang w:val="sr-Cyrl-CS"/>
                    </w:rPr>
                    <w:t>блиотеке, информатичких ресурса, процес управљања итд.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, у складу са ста</w:t>
                  </w:r>
                  <w:r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="00D8098D" w:rsidRPr="00A15501">
                    <w:rPr>
                      <w:rFonts w:asciiTheme="majorHAnsi" w:hAnsiTheme="majorHAnsi"/>
                      <w:lang w:val="sr-Cyrl-CS"/>
                    </w:rPr>
                    <w:t>ндардима НАТ-а.</w:t>
                  </w:r>
                </w:p>
                <w:p w14:paraId="67CF21D6" w14:textId="77777777" w:rsidR="00BB342B" w:rsidRPr="00A15501" w:rsidRDefault="00BB342B" w:rsidP="00BB342B">
                  <w:pPr>
                    <w:spacing w:before="60"/>
                    <w:jc w:val="both"/>
                    <w:rPr>
                      <w:rFonts w:asciiTheme="majorHAnsi" w:hAnsiTheme="majorHAnsi"/>
                      <w:lang w:val="sr-Cyrl-CS"/>
                    </w:rPr>
                  </w:pPr>
                  <w:r w:rsidRPr="00A15501">
                    <w:rPr>
                      <w:rFonts w:asciiTheme="majorHAnsi" w:hAnsiTheme="majorHAnsi"/>
                    </w:rPr>
                    <w:t xml:space="preserve">Стратегијом су </w:t>
                  </w:r>
                  <w:r w:rsidR="00366396" w:rsidRPr="00A15501">
                    <w:rPr>
                      <w:rFonts w:asciiTheme="majorHAnsi" w:hAnsiTheme="majorHAnsi"/>
                    </w:rPr>
                    <w:t xml:space="preserve">предвиђене и </w:t>
                  </w:r>
                  <w:r w:rsidR="00B0040B" w:rsidRPr="00A15501">
                    <w:rPr>
                      <w:rFonts w:asciiTheme="majorHAnsi" w:hAnsiTheme="majorHAnsi"/>
                    </w:rPr>
                    <w:t>о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бласти обезбеђења квалитета </w:t>
                  </w:r>
                  <w:r w:rsidR="00366396" w:rsidRPr="00A15501">
                    <w:rPr>
                      <w:rFonts w:asciiTheme="majorHAnsi" w:hAnsiTheme="majorHAnsi"/>
                      <w:lang w:val="sr-Cyrl-CS"/>
                    </w:rPr>
                    <w:t>и то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:</w:t>
                  </w:r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квалитет наставе</w:t>
                  </w:r>
                  <w:r w:rsidRPr="00A15501">
                    <w:rPr>
                      <w:rFonts w:asciiTheme="majorHAnsi" w:hAnsiTheme="majorHAnsi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квалитет наставника и сарадника</w:t>
                  </w:r>
                  <w:r w:rsidRPr="00A15501">
                    <w:rPr>
                      <w:rFonts w:asciiTheme="majorHAnsi" w:hAnsiTheme="majorHAnsi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квалитет управљања и ненаставне подршке</w:t>
                  </w:r>
                  <w:r w:rsidRPr="00A15501">
                    <w:rPr>
                      <w:rFonts w:asciiTheme="majorHAnsi" w:hAnsiTheme="majorHAnsi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ква</w:t>
                  </w:r>
                  <w:r w:rsidR="009B60BF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литет уџбеника, библиотечких и информатичких ресурса</w:t>
                  </w:r>
                  <w:r w:rsidRPr="00A15501">
                    <w:rPr>
                      <w:rFonts w:asciiTheme="majorHAnsi" w:hAnsiTheme="majorHAnsi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квалитет простора и опреме улога студената у провери квалитета и систематско праћење и периодична провера квалитета.</w:t>
                  </w:r>
                </w:p>
                <w:p w14:paraId="105201FC" w14:textId="77777777" w:rsidR="00264308" w:rsidRDefault="005F6771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Субјекти обезбеђења квалитета су: Комисија</w:t>
                  </w:r>
                  <w:r w:rsidR="00FF1BCB">
                    <w:rPr>
                      <w:rFonts w:asciiTheme="majorHAnsi" w:hAnsiTheme="majorHAnsi"/>
                    </w:rPr>
                    <w:t xml:space="preserve"> и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поткомисије за самовредновање и унутрашње обезбеђење квалитета</w:t>
                  </w:r>
                  <w:r w:rsidR="000A3D2B">
                    <w:rPr>
                      <w:rFonts w:asciiTheme="majorHAnsi" w:hAnsiTheme="majorHAnsi"/>
                    </w:rPr>
                    <w:t xml:space="preserve"> (на нивоу Академије и одсека)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, затим наставници и сарадници, студенти, ненаставно особље, стручни органи (Наставно-стручно веће 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lastRenderedPageBreak/>
                    <w:t>Академије и одсека, Већа катедри, колегијуми, комисије...), као и Савет Академије, као орган управљања. Права и обавезе наведених субјеката детаљно су предвиђена: Стратегијом обезбеђења квалитета,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Правилником о стандардима и поступцима за самовредновање и унутрашње обезбеђење квалитета и </w:t>
                  </w:r>
                  <w:hyperlink r:id="rId17" w:history="1"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Акционим планом за спро</w:t>
                    </w:r>
                    <w:r w:rsidR="00264308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-</w:t>
                    </w:r>
                    <w:r w:rsidRPr="00A15501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вођење стратегије обезбеђења квалитета, као и низом других правилника</w:t>
                    </w:r>
                  </w:hyperlink>
                  <w:r w:rsidRPr="00A15501">
                    <w:rPr>
                      <w:rFonts w:asciiTheme="majorHAnsi" w:hAnsiTheme="majorHAnsi"/>
                      <w:lang w:val="sr-Cyrl-CS"/>
                    </w:rPr>
                    <w:t>.</w:t>
                  </w:r>
                  <w:r w:rsidR="000476C1" w:rsidRPr="00A15501">
                    <w:rPr>
                      <w:rFonts w:asciiTheme="majorHAnsi" w:hAnsiTheme="majorHAnsi"/>
                    </w:rPr>
                    <w:t xml:space="preserve"> Акциони план је усвојен 03.04.2024.године и односи наспровођење </w:t>
                  </w:r>
                  <w:r w:rsidR="003E50E6" w:rsidRPr="00A15501">
                    <w:rPr>
                      <w:rFonts w:asciiTheme="majorHAnsi" w:hAnsiTheme="majorHAnsi"/>
                    </w:rPr>
                    <w:t>Стратегије у школским 2024-25, 2025-26, 2026-27.г.</w:t>
                  </w:r>
                </w:p>
                <w:p w14:paraId="3522E1F6" w14:textId="77777777" w:rsidR="00264308" w:rsidRDefault="008015EA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Поред Акционог плана за спровођење Стратегије, Комисија за самовредновање и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унутрашње обезбеђење квалитета прави и годишњи  План рада</w:t>
                  </w:r>
                  <w:r w:rsidR="00A2164F" w:rsidRPr="00A15501">
                    <w:rPr>
                      <w:rFonts w:asciiTheme="majorHAnsi" w:hAnsiTheme="majorHAnsi"/>
                    </w:rPr>
                    <w:t xml:space="preserve">, где су </w:t>
                  </w:r>
                  <w:r w:rsidR="00FF1BCB">
                    <w:rPr>
                      <w:rFonts w:asciiTheme="majorHAnsi" w:hAnsiTheme="majorHAnsi"/>
                    </w:rPr>
                    <w:t>тачно одре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="00A2164F" w:rsidRPr="00A15501">
                    <w:rPr>
                      <w:rFonts w:asciiTheme="majorHAnsi" w:hAnsiTheme="majorHAnsi"/>
                    </w:rPr>
                    <w:t>ђене активности по стандардима који се вред</w:t>
                  </w:r>
                  <w:r w:rsidR="00FF1BCB">
                    <w:rPr>
                      <w:rFonts w:asciiTheme="majorHAnsi" w:hAnsiTheme="majorHAnsi"/>
                    </w:rPr>
                    <w:t>нују и са дефинисаним одговорно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="00A2164F" w:rsidRPr="00A15501">
                    <w:rPr>
                      <w:rFonts w:asciiTheme="majorHAnsi" w:hAnsiTheme="majorHAnsi"/>
                    </w:rPr>
                    <w:t>стима да те активности буду испуњене.</w:t>
                  </w:r>
                </w:p>
                <w:p w14:paraId="164363CD" w14:textId="77777777" w:rsidR="00264308" w:rsidRDefault="00267D98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Усвајањем Стратегије обезбеђења квалитета, као и утврђивањем стандарда и посту</w:t>
                  </w:r>
                  <w:r w:rsidR="00B0040B" w:rsidRPr="00A15501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пака обезбеђења квалитета, </w:t>
                  </w:r>
                  <w:r w:rsidR="00B0040B" w:rsidRPr="00A15501">
                    <w:rPr>
                      <w:rFonts w:asciiTheme="majorHAnsi" w:hAnsiTheme="majorHAnsi"/>
                      <w:lang w:val="sr-Cyrl-CS"/>
                    </w:rPr>
                    <w:t>Академија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се определила за изградњу организационе културе квалитета.</w:t>
                  </w:r>
                </w:p>
                <w:p w14:paraId="32586340" w14:textId="77777777" w:rsidR="00264308" w:rsidRDefault="00267D98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  <w:lang w:val="sr-Cyrl-CS"/>
                    </w:rPr>
                    <w:t>Повезаност образовне, научно истраживачке и стручне делатности остварује се уче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шћем наставника и сарадника у остваривању међународних и домаћих пројеката, учешће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>м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на научним скуповима, објављивањем стручних и научних радова, уче</w:t>
                  </w:r>
                  <w:r w:rsidR="00264308">
                    <w:rPr>
                      <w:rFonts w:asciiTheme="majorHAnsi" w:hAnsiTheme="majorHAnsi"/>
                      <w:lang w:val="sr-Cyrl-CS"/>
                    </w:rPr>
                    <w:t>-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>шћем студената у реализацији пројеката као и остваривањем практичне наставе и практичних радове</w:t>
                  </w:r>
                  <w:r w:rsidR="00FF1BCB">
                    <w:rPr>
                      <w:rFonts w:asciiTheme="majorHAnsi" w:hAnsiTheme="majorHAnsi"/>
                      <w:lang w:val="sr-Cyrl-CS"/>
                    </w:rPr>
                    <w:t>,</w:t>
                  </w:r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као и друге видове трансфера знања и вештина ка тржишту рада.</w:t>
                  </w:r>
                </w:p>
                <w:p w14:paraId="03E45570" w14:textId="73DDD084" w:rsidR="00267D98" w:rsidRPr="00FF1BCB" w:rsidRDefault="00211744" w:rsidP="00264308">
                  <w:pPr>
                    <w:tabs>
                      <w:tab w:val="left" w:pos="709"/>
                    </w:tabs>
                    <w:spacing w:before="60"/>
                    <w:jc w:val="both"/>
                    <w:rPr>
                      <w:rFonts w:asciiTheme="majorHAnsi" w:hAnsiTheme="majorHAnsi"/>
                    </w:rPr>
                  </w:pPr>
                  <w:r w:rsidRPr="00FF1BCB">
                    <w:rPr>
                      <w:rFonts w:asciiTheme="majorHAnsi" w:hAnsiTheme="majorHAnsi"/>
                    </w:rPr>
                    <w:t xml:space="preserve">Академија је, тренутно, у поступку имплементације и сертификације стандарда квалитета </w:t>
                  </w:r>
                  <w:r w:rsidR="00CC12FD" w:rsidRPr="00FF1BCB">
                    <w:rPr>
                      <w:rFonts w:asciiTheme="majorHAnsi" w:hAnsiTheme="majorHAnsi" w:cs="TimesNewRoman,Bold"/>
                      <w:bCs/>
                    </w:rPr>
                    <w:t>SRPS</w:t>
                  </w:r>
                  <w:r w:rsidR="00264308">
                    <w:rPr>
                      <w:rFonts w:asciiTheme="majorHAnsi" w:hAnsiTheme="majorHAnsi" w:cs="TimesNewRoman,Bold"/>
                      <w:bCs/>
                    </w:rPr>
                    <w:t xml:space="preserve"> </w:t>
                  </w:r>
                  <w:r w:rsidRPr="00FF1BCB">
                    <w:rPr>
                      <w:rFonts w:asciiTheme="majorHAnsi" w:hAnsiTheme="majorHAnsi"/>
                    </w:rPr>
                    <w:t xml:space="preserve">ISO 9001: 2015. </w:t>
                  </w:r>
                  <w:r w:rsidR="00CC12FD" w:rsidRPr="00FF1BCB">
                    <w:rPr>
                      <w:rFonts w:asciiTheme="majorHAnsi" w:hAnsiTheme="majorHAnsi"/>
                    </w:rPr>
                    <w:t xml:space="preserve">Иначе, још 2016.године, </w:t>
                  </w:r>
                  <w:r w:rsidRPr="00FF1BCB">
                    <w:rPr>
                      <w:rFonts w:asciiTheme="majorHAnsi" w:hAnsiTheme="majorHAnsi"/>
                    </w:rPr>
                    <w:t>Одсек Ниш (</w:t>
                  </w:r>
                  <w:r w:rsidR="00CC12FD" w:rsidRPr="00FF1BCB">
                    <w:rPr>
                      <w:rFonts w:asciiTheme="majorHAnsi" w:hAnsiTheme="majorHAnsi"/>
                    </w:rPr>
                    <w:t xml:space="preserve">тада </w:t>
                  </w:r>
                  <w:r w:rsidRPr="00FF1BCB">
                    <w:rPr>
                      <w:rFonts w:asciiTheme="majorHAnsi" w:hAnsiTheme="majorHAnsi"/>
                    </w:rPr>
                    <w:t xml:space="preserve">као Висока техничка школа струковних студија Ниш), </w:t>
                  </w:r>
                  <w:r w:rsidR="00CC12FD" w:rsidRPr="00FF1BCB">
                    <w:rPr>
                      <w:rFonts w:asciiTheme="majorHAnsi" w:hAnsiTheme="majorHAnsi"/>
                    </w:rPr>
                    <w:t xml:space="preserve">успешно је </w:t>
                  </w:r>
                  <w:r w:rsidRPr="00FF1BCB">
                    <w:rPr>
                      <w:rFonts w:asciiTheme="majorHAnsi" w:hAnsiTheme="majorHAnsi"/>
                    </w:rPr>
                    <w:t xml:space="preserve">прошао све активности везане за сертификацију стандарда квалитета, </w:t>
                  </w:r>
                  <w:r w:rsidR="00CC12FD" w:rsidRPr="00FF1BCB">
                    <w:rPr>
                      <w:rFonts w:asciiTheme="majorHAnsi" w:hAnsiTheme="majorHAnsi"/>
                    </w:rPr>
                    <w:t>(</w:t>
                  </w:r>
                  <w:r w:rsidRPr="00FF1BCB">
                    <w:rPr>
                      <w:rFonts w:asciiTheme="majorHAnsi" w:hAnsiTheme="majorHAnsi"/>
                    </w:rPr>
                    <w:t xml:space="preserve">тада под ознаком </w:t>
                  </w:r>
                  <w:r w:rsidR="00CC12FD" w:rsidRPr="00FF1BCB">
                    <w:rPr>
                      <w:rFonts w:asciiTheme="majorHAnsi" w:hAnsiTheme="majorHAnsi" w:cs="TimesNewRoman,Bold"/>
                      <w:bCs/>
                    </w:rPr>
                    <w:t>SRPS</w:t>
                  </w:r>
                  <w:r w:rsidR="00264308">
                    <w:rPr>
                      <w:rFonts w:asciiTheme="majorHAnsi" w:hAnsiTheme="majorHAnsi" w:cs="TimesNewRoman,Bold"/>
                      <w:bCs/>
                    </w:rPr>
                    <w:t xml:space="preserve"> </w:t>
                  </w:r>
                  <w:r w:rsidRPr="00FF1BCB">
                    <w:rPr>
                      <w:rFonts w:asciiTheme="majorHAnsi" w:hAnsiTheme="majorHAnsi"/>
                    </w:rPr>
                    <w:t>ISO 9001: 2008</w:t>
                  </w:r>
                  <w:r w:rsidR="00CC12FD" w:rsidRPr="00FF1BCB">
                    <w:rPr>
                      <w:rFonts w:asciiTheme="majorHAnsi" w:hAnsiTheme="majorHAnsi"/>
                    </w:rPr>
                    <w:t>)</w:t>
                  </w:r>
                  <w:r w:rsidRPr="00FF1BCB">
                    <w:rPr>
                      <w:rFonts w:asciiTheme="majorHAnsi" w:hAnsiTheme="majorHAnsi"/>
                    </w:rPr>
                    <w:t xml:space="preserve"> и добио сертификат квалитета (</w:t>
                  </w:r>
                  <w:r w:rsidRPr="00FF1BCB">
                    <w:rPr>
                      <w:rStyle w:val="Hyperlink"/>
                      <w:rFonts w:asciiTheme="majorHAnsi" w:hAnsiTheme="majorHAnsi"/>
                      <w:color w:val="auto"/>
                      <w:u w:val="none"/>
                    </w:rPr>
                    <w:t>бр.173SRQS</w:t>
                  </w:r>
                  <w:r w:rsidRPr="00FF1BCB">
                    <w:rPr>
                      <w:rFonts w:asciiTheme="majorHAnsi" w:hAnsiTheme="majorHAnsi"/>
                    </w:rPr>
                    <w:t>)</w:t>
                  </w:r>
                  <w:r w:rsidR="00CC12FD" w:rsidRPr="00FF1BCB">
                    <w:rPr>
                      <w:rFonts w:asciiTheme="majorHAnsi" w:hAnsiTheme="majorHAnsi"/>
                    </w:rPr>
                    <w:t xml:space="preserve">. </w:t>
                  </w:r>
                </w:p>
                <w:p w14:paraId="69AE4C3A" w14:textId="77777777" w:rsidR="007238A4" w:rsidRPr="006D188E" w:rsidRDefault="007238A4" w:rsidP="007238A4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14:paraId="5EAF4328" w14:textId="77777777" w:rsidR="00ED219A" w:rsidRDefault="003E50E6" w:rsidP="00ED219A">
                  <w:pPr>
                    <w:spacing w:before="120"/>
                    <w:ind w:right="20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</w:rPr>
                    <w:t>Период</w:t>
                  </w:r>
                  <w:r w:rsidR="00FF1BCB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који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се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анализира у овом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Извештају о самовредновању, обележен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је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већим и мањим</w:t>
                  </w:r>
                  <w:r w:rsidR="00A53D97" w:rsidRPr="00A15501">
                    <w:rPr>
                      <w:rFonts w:asciiTheme="majorHAnsi" w:hAnsiTheme="majorHAnsi"/>
                    </w:rPr>
                    <w:t>,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објективним и субјективним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тешкоћама, које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су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се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одразиле и на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активно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Pr="00A15501">
                    <w:rPr>
                      <w:rFonts w:asciiTheme="majorHAnsi" w:hAnsiTheme="majorHAnsi"/>
                    </w:rPr>
                    <w:t>стима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праћења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квалитета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свих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 xml:space="preserve">аспеката рада Академије. </w:t>
                  </w:r>
                  <w:r w:rsidR="00CC12FD" w:rsidRPr="00A15501">
                    <w:rPr>
                      <w:rFonts w:asciiTheme="majorHAnsi" w:hAnsiTheme="majorHAnsi"/>
                    </w:rPr>
                    <w:t>Пре свега, високошколске установе и њихови запошљени, требало је да се прилагоде раду у новом концепту и организацији рада, као што је Академија, која је при томе преузела својство правног лица. Наиме, успостављањем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="00CC12FD" w:rsidRPr="00A15501">
                    <w:rPr>
                      <w:rFonts w:asciiTheme="majorHAnsi" w:hAnsiTheme="majorHAnsi"/>
                    </w:rPr>
                    <w:t>Академије, с</w:t>
                  </w:r>
                  <w:r w:rsidRPr="00A15501">
                    <w:rPr>
                      <w:rFonts w:asciiTheme="majorHAnsi" w:hAnsiTheme="majorHAnsi"/>
                    </w:rPr>
                    <w:t>ви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радници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ранијих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Високих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школа у Нишу, Пироту и Врању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постали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="00CC12FD" w:rsidRPr="00A15501">
                    <w:rPr>
                      <w:rFonts w:asciiTheme="majorHAnsi" w:hAnsiTheme="majorHAnsi"/>
                    </w:rPr>
                    <w:t>су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>радници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Pr="00A15501">
                    <w:rPr>
                      <w:rFonts w:asciiTheme="majorHAnsi" w:hAnsiTheme="majorHAnsi"/>
                    </w:rPr>
                    <w:t xml:space="preserve">Академије, </w:t>
                  </w:r>
                  <w:r w:rsidR="00A53D97" w:rsidRPr="00A15501">
                    <w:rPr>
                      <w:rFonts w:asciiTheme="majorHAnsi" w:hAnsiTheme="majorHAnsi"/>
                    </w:rPr>
                    <w:t>а новоформирани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="00A53D97" w:rsidRPr="00A15501">
                    <w:rPr>
                      <w:rFonts w:asciiTheme="majorHAnsi" w:hAnsiTheme="majorHAnsi"/>
                    </w:rPr>
                    <w:t>одсеци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="00A53D97" w:rsidRPr="00A15501">
                    <w:rPr>
                      <w:rFonts w:asciiTheme="majorHAnsi" w:hAnsiTheme="majorHAnsi"/>
                    </w:rPr>
                    <w:t>изгубили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="00A53D97" w:rsidRPr="00A15501">
                    <w:rPr>
                      <w:rFonts w:asciiTheme="majorHAnsi" w:hAnsiTheme="majorHAnsi"/>
                    </w:rPr>
                    <w:t>статус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="00A53D97" w:rsidRPr="00A15501">
                    <w:rPr>
                      <w:rFonts w:asciiTheme="majorHAnsi" w:hAnsiTheme="majorHAnsi"/>
                    </w:rPr>
                    <w:t>самосталних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="00A53D97" w:rsidRPr="00A15501">
                    <w:rPr>
                      <w:rFonts w:asciiTheme="majorHAnsi" w:hAnsiTheme="majorHAnsi"/>
                    </w:rPr>
                    <w:t>високошколских</w:t>
                  </w:r>
                  <w:r w:rsidR="00ED219A">
                    <w:rPr>
                      <w:rFonts w:asciiTheme="majorHAnsi" w:hAnsiTheme="majorHAnsi"/>
                    </w:rPr>
                    <w:t xml:space="preserve"> </w:t>
                  </w:r>
                  <w:r w:rsidR="00A53D97" w:rsidRPr="00A15501">
                    <w:rPr>
                      <w:rFonts w:asciiTheme="majorHAnsi" w:hAnsiTheme="majorHAnsi"/>
                    </w:rPr>
                    <w:t xml:space="preserve">установа. </w:t>
                  </w:r>
                  <w:r w:rsidR="00CC12FD" w:rsidRPr="00A15501">
                    <w:rPr>
                      <w:rFonts w:asciiTheme="majorHAnsi" w:hAnsiTheme="majorHAnsi"/>
                    </w:rPr>
                    <w:t xml:space="preserve">Иако су све високе школе радиле по истој законској регулативи и истим стандардима, прописаним од стране Националног акредитационог тела, већ на самом почетку рада Академије, уочиле су се разлике </w:t>
                  </w:r>
                  <w:r w:rsidR="00ED219A" w:rsidRPr="00A15501">
                    <w:rPr>
                      <w:rFonts w:asciiTheme="majorHAnsi" w:hAnsiTheme="majorHAnsi"/>
                    </w:rPr>
                    <w:t xml:space="preserve">између одсека </w:t>
                  </w:r>
                  <w:r w:rsidR="00CC12FD" w:rsidRPr="00A15501">
                    <w:rPr>
                      <w:rFonts w:asciiTheme="majorHAnsi" w:hAnsiTheme="majorHAnsi"/>
                    </w:rPr>
                    <w:t>у</w:t>
                  </w:r>
                  <w:r w:rsidR="00ED219A">
                    <w:rPr>
                      <w:rFonts w:asciiTheme="majorHAnsi" w:hAnsiTheme="majorHAnsi"/>
                    </w:rPr>
                    <w:t xml:space="preserve"> самом</w:t>
                  </w:r>
                  <w:r w:rsidR="00CC12FD" w:rsidRPr="00A15501">
                    <w:rPr>
                      <w:rFonts w:asciiTheme="majorHAnsi" w:hAnsiTheme="majorHAnsi"/>
                    </w:rPr>
                    <w:t xml:space="preserve"> функционисању, </w:t>
                  </w:r>
                  <w:r w:rsidR="00816A4A" w:rsidRPr="00A15501">
                    <w:rPr>
                      <w:rFonts w:asciiTheme="majorHAnsi" w:hAnsiTheme="majorHAnsi"/>
                    </w:rPr>
                    <w:t xml:space="preserve">броју наставника и студената, </w:t>
                  </w:r>
                  <w:r w:rsidR="00CC12FD" w:rsidRPr="00A15501">
                    <w:rPr>
                      <w:rFonts w:asciiTheme="majorHAnsi" w:hAnsiTheme="majorHAnsi"/>
                    </w:rPr>
                    <w:t>па и квалитету</w:t>
                  </w:r>
                  <w:r w:rsidR="00ED219A">
                    <w:rPr>
                      <w:rFonts w:asciiTheme="majorHAnsi" w:hAnsiTheme="majorHAnsi"/>
                    </w:rPr>
                    <w:t xml:space="preserve"> рада</w:t>
                  </w:r>
                  <w:r w:rsidR="00816A4A" w:rsidRPr="00A15501">
                    <w:rPr>
                      <w:rFonts w:asciiTheme="majorHAnsi" w:hAnsiTheme="majorHAnsi"/>
                    </w:rPr>
                    <w:t xml:space="preserve">. </w:t>
                  </w:r>
                </w:p>
                <w:p w14:paraId="04B03991" w14:textId="77777777" w:rsidR="00A22CB4" w:rsidRDefault="00816A4A" w:rsidP="00ED219A">
                  <w:pPr>
                    <w:spacing w:before="60"/>
                    <w:ind w:right="23"/>
                    <w:jc w:val="both"/>
                    <w:rPr>
                      <w:rFonts w:asciiTheme="majorHAnsi" w:hAnsiTheme="majorHAnsi"/>
                    </w:rPr>
                  </w:pPr>
                  <w:r w:rsidRPr="00A15501">
                    <w:rPr>
                      <w:rFonts w:asciiTheme="majorHAnsi" w:hAnsiTheme="majorHAnsi"/>
                    </w:rPr>
                    <w:t>Након протекле три школске године, од тренутка акредитовања, може се конста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Pr="00A15501">
                    <w:rPr>
                      <w:rFonts w:asciiTheme="majorHAnsi" w:hAnsiTheme="majorHAnsi"/>
                    </w:rPr>
                    <w:t>товати да Академија функционише као једна вис</w:t>
                  </w:r>
                  <w:r w:rsidR="00ED219A">
                    <w:rPr>
                      <w:rFonts w:asciiTheme="majorHAnsi" w:hAnsiTheme="majorHAnsi"/>
                    </w:rPr>
                    <w:t>окошколска јединица о свим зако</w:t>
                  </w:r>
                  <w:r w:rsidR="00264308">
                    <w:rPr>
                      <w:rFonts w:asciiTheme="majorHAnsi" w:hAnsiTheme="majorHAnsi"/>
                    </w:rPr>
                    <w:t>-</w:t>
                  </w:r>
                  <w:r w:rsidR="00ED219A">
                    <w:rPr>
                      <w:rFonts w:asciiTheme="majorHAnsi" w:hAnsiTheme="majorHAnsi"/>
                    </w:rPr>
                    <w:t xml:space="preserve">нским аспектима. </w:t>
                  </w:r>
                  <w:r w:rsidR="00323A60">
                    <w:rPr>
                      <w:rFonts w:asciiTheme="majorHAnsi" w:hAnsiTheme="majorHAnsi"/>
                    </w:rPr>
                    <w:t xml:space="preserve">Неки наставници Академије изводе наставу на више одсека, чиме је омогућено квалитетно извођење наставе на свим студијским програмима. Ипак, треба признати да </w:t>
                  </w:r>
                  <w:r w:rsidRPr="00A15501">
                    <w:rPr>
                      <w:rFonts w:asciiTheme="majorHAnsi" w:hAnsiTheme="majorHAnsi"/>
                    </w:rPr>
                    <w:t xml:space="preserve">постоји </w:t>
                  </w:r>
                  <w:r w:rsidR="00323A60">
                    <w:rPr>
                      <w:rFonts w:asciiTheme="majorHAnsi" w:hAnsiTheme="majorHAnsi"/>
                    </w:rPr>
                    <w:t>још простора</w:t>
                  </w:r>
                  <w:r w:rsidRPr="00A15501">
                    <w:rPr>
                      <w:rFonts w:asciiTheme="majorHAnsi" w:hAnsiTheme="majorHAnsi"/>
                    </w:rPr>
                    <w:t xml:space="preserve"> за напредак</w:t>
                  </w:r>
                  <w:r w:rsidR="00323A60">
                    <w:rPr>
                      <w:rFonts w:asciiTheme="majorHAnsi" w:hAnsiTheme="majorHAnsi"/>
                    </w:rPr>
                    <w:t xml:space="preserve">, пре свега у активностима конкурисања за пројекте, у издавачкој делатности и већем публиковању радова са SCI индексом. Нарочито је важна и повећана сарадња са привредним субјектима, како због едукације наставника и студената, тако и у извођењу комерцијалних активности. </w:t>
                  </w:r>
                  <w:r w:rsidRPr="00A15501">
                    <w:rPr>
                      <w:rFonts w:asciiTheme="majorHAnsi" w:hAnsiTheme="majorHAnsi"/>
                    </w:rPr>
                    <w:t xml:space="preserve">Објективна тешкоћа у још бољој сарадњи између одсека, пре свега у научно-стручној сарадњи и комуникацији између наставног кадра, представља </w:t>
                  </w:r>
                  <w:r w:rsidRPr="00A15501">
                    <w:rPr>
                      <w:rFonts w:asciiTheme="majorHAnsi" w:hAnsiTheme="majorHAnsi"/>
                    </w:rPr>
                    <w:lastRenderedPageBreak/>
                    <w:t>просторна дистанца јер су одсеци међусобно удаљени између 70 и 120 километара.</w:t>
                  </w:r>
                </w:p>
                <w:p w14:paraId="779D0F98" w14:textId="77777777" w:rsidR="007238A4" w:rsidRDefault="007238A4" w:rsidP="000779C8">
                  <w:pPr>
                    <w:spacing w:before="120"/>
                    <w:ind w:right="142"/>
                    <w:jc w:val="both"/>
                    <w:rPr>
                      <w:rFonts w:asciiTheme="majorHAnsi" w:hAnsiTheme="majorHAnsi"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r>
                    <w:rPr>
                      <w:rFonts w:ascii="Cambria" w:hAnsi="Cambria"/>
                      <w:b/>
                    </w:rPr>
                    <w:t>1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14:paraId="5F6C2298" w14:textId="77777777" w:rsidR="007238A4" w:rsidRPr="007238A4" w:rsidRDefault="007238A4" w:rsidP="000779C8">
                  <w:pPr>
                    <w:spacing w:before="120"/>
                    <w:ind w:right="142"/>
                    <w:jc w:val="both"/>
                    <w:rPr>
                      <w:rFonts w:asciiTheme="majorHAnsi" w:hAnsiTheme="majorHAnsi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30"/>
                    <w:gridCol w:w="4702"/>
                  </w:tblGrid>
                  <w:tr w:rsidR="008C45A1" w:rsidRPr="00A15501" w14:paraId="4D6D891F" w14:textId="77777777" w:rsidTr="00323A60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14:paraId="5277FC1B" w14:textId="77777777" w:rsidR="008C45A1" w:rsidRPr="00A15501" w:rsidRDefault="008C45A1" w:rsidP="008C45A1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14:paraId="600F7E4F" w14:textId="77777777" w:rsidR="008C45A1" w:rsidRPr="00A15501" w:rsidRDefault="008C45A1" w:rsidP="008C45A1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</w:p>
                    </w:tc>
                  </w:tr>
                  <w:tr w:rsidR="008C45A1" w:rsidRPr="00A15501" w14:paraId="4ED24D83" w14:textId="77777777" w:rsidTr="00323A60">
                    <w:trPr>
                      <w:trHeight w:val="370"/>
                      <w:jc w:val="center"/>
                    </w:trPr>
                    <w:tc>
                      <w:tcPr>
                        <w:tcW w:w="4530" w:type="dxa"/>
                      </w:tcPr>
                      <w:p w14:paraId="7E323DBA" w14:textId="77777777" w:rsidR="00C00689" w:rsidRPr="00C00689" w:rsidRDefault="00C00689" w:rsidP="00C00689">
                        <w:pPr>
                          <w:pStyle w:val="ListParagraph"/>
                          <w:spacing w:before="60"/>
                          <w:ind w:left="351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</w:p>
                      <w:p w14:paraId="6877161C" w14:textId="77777777" w:rsidR="00323A60" w:rsidRPr="00323A60" w:rsidRDefault="00F55E33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51" w:hanging="181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Опредељеност 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Академије да непре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кидно и систематски ради на унапре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ђењу квалитет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својих 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студијских 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про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B57556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грама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3B980EA8" w14:textId="77777777" w:rsidR="00323A60" w:rsidRPr="00323A60" w:rsidRDefault="00C16F12" w:rsidP="00323A6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Донета</w:t>
                        </w:r>
                        <w:r w:rsidR="006E4B9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 јавно дос</w:t>
                        </w:r>
                        <w:r w:rsidR="00CC4BA6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тупна</w:t>
                        </w:r>
                        <w:r w:rsidR="00323A60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="00C1190E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Стратегија обезбеђења квалитета</w:t>
                        </w:r>
                        <w:r w:rsidR="00CC4BA6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Академије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53771EBE" w14:textId="77777777" w:rsidR="00C00689" w:rsidRPr="00C00689" w:rsidRDefault="00323C0D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Постојање поступ</w:t>
                        </w:r>
                        <w:r w:rsidR="00D41F8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</w:t>
                        </w:r>
                        <w:r w:rsidR="00D41F85"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  и мера</w:t>
                        </w: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праће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ње, обезбеђивање, унапређење и развој квалитета студијских програма, наста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вног процеса и услова рада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1BE34574" w14:textId="77777777" w:rsidR="00C00689" w:rsidRPr="00C00689" w:rsidRDefault="00FF2CEA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Именовани </w:t>
                        </w:r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субјект</w:t>
                        </w:r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</w:t>
                        </w:r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обезбеђења ква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литета (стручна тела, студент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</w:t>
                        </w:r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, нена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ставно особље) и </w:t>
                        </w:r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дефи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</w:t>
                        </w:r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исана </w:t>
                        </w:r>
                        <w:r w:rsidR="00E5670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њихова права и обавезе у том поступку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78EC323A" w14:textId="77777777" w:rsidR="00C00689" w:rsidRPr="00C00689" w:rsidRDefault="00EE3806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Дефинисане </w:t>
                        </w:r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области обезбеђења ква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литета (студијски програми, настава, истраживање, вредновање студената, уџбеници и литература, ресурси, нена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310FB5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ставна подршка, процес управљања)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184FD907" w14:textId="77777777" w:rsidR="00C00689" w:rsidRPr="00C00689" w:rsidRDefault="00256042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Опредељеност</w:t>
                        </w:r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изградњу органи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74189D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зационе културе квалитета</w:t>
                        </w:r>
                        <w:r w:rsidR="00323A60" w:rsidRP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4A45A20E" w14:textId="77777777" w:rsidR="008C45A1" w:rsidRPr="00C00689" w:rsidRDefault="00D661D4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Повезаност образовне, научно истра</w:t>
                        </w:r>
                        <w:r w:rsidR="00C00689" w:rsidRP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живачке и стручне делатности</w:t>
                        </w:r>
                        <w:r w:rsidR="00C00689" w:rsidRP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+</w:t>
                        </w:r>
                      </w:p>
                      <w:p w14:paraId="6C66DBFC" w14:textId="77777777" w:rsidR="00C00689" w:rsidRPr="00A15501" w:rsidRDefault="00C00689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702" w:type="dxa"/>
                      </w:tcPr>
                      <w:p w14:paraId="411237C6" w14:textId="77777777" w:rsidR="00C00689" w:rsidRPr="00C00689" w:rsidRDefault="00C00689" w:rsidP="00C00689">
                        <w:pPr>
                          <w:pStyle w:val="ListParagraph"/>
                          <w:spacing w:before="60"/>
                          <w:ind w:left="346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</w:p>
                      <w:p w14:paraId="72F2900D" w14:textId="77777777" w:rsidR="008C45A1" w:rsidRPr="00A15501" w:rsidRDefault="0032049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6" w:hanging="170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Разлике у</w:t>
                        </w:r>
                        <w:r w:rsidR="00323A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="00F4104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области обезбеђења </w:t>
                        </w:r>
                        <w:r w:rsidR="0088615D"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квалитету у одсецима Академије</w:t>
                        </w:r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5E8D3CDB" w14:textId="77777777" w:rsidR="00DC027A" w:rsidRPr="00A15501" w:rsidRDefault="00DC027A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3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Велика просторна дистанца између одсе</w:t>
                        </w:r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ка Академије</w:t>
                        </w:r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6B647A64" w14:textId="77777777" w:rsidR="006C0F87" w:rsidRPr="00A15501" w:rsidRDefault="006C0F87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3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Недовољна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упућеност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9A0212"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појединих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запо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слених</w:t>
                        </w:r>
                        <w:r w:rsidR="004C03B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, као и студената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у значај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обе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збеђења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8F2E01"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валитета и пруцедуре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које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доприносе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обезбеђењу и унапређењу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квалитета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08B8508F" w14:textId="77777777" w:rsidR="00237A54" w:rsidRPr="00A15501" w:rsidRDefault="00237A54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3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Људски и инфрастр</w:t>
                        </w:r>
                        <w:r w:rsidR="008F2E01"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ктурни, посебно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теријални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ресурси, су у појединим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обла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стима на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граници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постављених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станда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рда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1F725BD" w14:textId="77777777" w:rsidR="00724FA0" w:rsidRPr="00A15501" w:rsidRDefault="00724FA0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3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Повезаност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образовне и научно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истра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живачке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стручном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делатношћу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није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равномерна у свим</w:t>
                        </w:r>
                        <w:r w:rsidR="00323A6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одсецима Академије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16F8872" w14:textId="77777777" w:rsidR="008C45A1" w:rsidRPr="00A15501" w:rsidRDefault="008C45A1" w:rsidP="00724FA0">
                        <w:pPr>
                          <w:spacing w:before="60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C45A1" w:rsidRPr="00A15501" w14:paraId="7E45FD95" w14:textId="77777777" w:rsidTr="00323A60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14:paraId="74F47B18" w14:textId="77777777" w:rsidR="008C45A1" w:rsidRPr="00A15501" w:rsidRDefault="008C45A1" w:rsidP="008C45A1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Могућности</w:t>
                        </w:r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14:paraId="6223461F" w14:textId="77777777" w:rsidR="008C45A1" w:rsidRPr="00A15501" w:rsidRDefault="008C45A1" w:rsidP="008C45A1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</w:p>
                    </w:tc>
                  </w:tr>
                  <w:tr w:rsidR="008C45A1" w:rsidRPr="00A15501" w14:paraId="223CA8D8" w14:textId="77777777" w:rsidTr="00323A60">
                    <w:trPr>
                      <w:trHeight w:val="2804"/>
                      <w:jc w:val="center"/>
                    </w:trPr>
                    <w:tc>
                      <w:tcPr>
                        <w:tcW w:w="4530" w:type="dxa"/>
                      </w:tcPr>
                      <w:p w14:paraId="5E1E33AA" w14:textId="77777777" w:rsidR="00C00689" w:rsidRDefault="00C00689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</w:p>
                      <w:p w14:paraId="47B0E862" w14:textId="77777777" w:rsidR="00E67311" w:rsidRPr="00A15501" w:rsidRDefault="00E6731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Перспектива потпуног укључења си</w:t>
                        </w:r>
                        <w:r w:rsidR="00F8408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стема високошколског образовања у Србији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,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у европски систем високошко</w:t>
                        </w:r>
                        <w:r w:rsidR="00264308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лског образовања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++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</w:p>
                      <w:p w14:paraId="68CFD975" w14:textId="77777777" w:rsidR="00AC02C9" w:rsidRPr="00A15501" w:rsidRDefault="00E6731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Олакшано успостављање и одржавање сарадње са други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м високошколским институцијама ++</w:t>
                        </w:r>
                      </w:p>
                      <w:p w14:paraId="08D63FE3" w14:textId="77777777" w:rsidR="00E67311" w:rsidRPr="00A15501" w:rsidRDefault="00E6731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Повећане могућности за интеграциј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у у међународнеобразовне токове +</w:t>
                        </w:r>
                      </w:p>
                      <w:p w14:paraId="1E5DADE6" w14:textId="77777777" w:rsidR="00C00689" w:rsidRDefault="00E67311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Развој стручне сарадње са привредним субјектима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+++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</w:p>
                      <w:p w14:paraId="0AE52082" w14:textId="77777777" w:rsidR="00C00689" w:rsidRPr="00A15501" w:rsidRDefault="00C00689" w:rsidP="00C00689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 w:hanging="17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Најава, од стране релевантних држа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вних институција, </w:t>
                        </w:r>
                        <w:r w:rsidR="00F8408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промене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критери</w:t>
                        </w:r>
                        <w:r w:rsidR="00F8408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јума за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мерење квалитета високошко</w:t>
                        </w:r>
                        <w:r w:rsidR="00125FB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лских установа - у области интернаци</w:t>
                        </w:r>
                        <w:r w:rsidR="00125FB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онализације,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рангирања високошко</w:t>
                        </w:r>
                        <w:r w:rsidR="00125FB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лских установа и подизања квалитета рада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високошколских установа ++</w:t>
                        </w:r>
                      </w:p>
                      <w:p w14:paraId="131CC770" w14:textId="77777777" w:rsidR="008C45A1" w:rsidRPr="00A15501" w:rsidRDefault="008C45A1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702" w:type="dxa"/>
                      </w:tcPr>
                      <w:p w14:paraId="521BCD9B" w14:textId="77777777" w:rsidR="00C00689" w:rsidRPr="00C00689" w:rsidRDefault="00C00689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</w:p>
                      <w:p w14:paraId="0FAB9CD0" w14:textId="77777777" w:rsidR="002A2A66" w:rsidRPr="00A15501" w:rsidRDefault="002A2A66" w:rsidP="009B474D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Неадекватан и нестабилан систем фина</w:t>
                        </w:r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нсирања високог образовања</w:t>
                        </w:r>
                        <w:r w:rsidR="00C0068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45AB8173" w14:textId="77777777" w:rsidR="00C00689" w:rsidRDefault="00C00689" w:rsidP="0051092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Због релативно слабих личних доходака  у области високог образовања, све мање младих се одлучује за професионални рад у овој области, па постоји реална опасност остајања без наставног кадра у струковном високом образовању, пре свега +++</w:t>
                        </w:r>
                      </w:p>
                      <w:p w14:paraId="5F91E0DB" w14:textId="77777777" w:rsidR="00585F6A" w:rsidRPr="00A15501" w:rsidRDefault="00585F6A" w:rsidP="0051092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Не постоји законска регулатива за ха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рмонизацију струковних и академских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студија</w:t>
                        </w:r>
                        <w:r w:rsidR="00C00689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++</w:t>
                        </w:r>
                        <w:r w:rsidRPr="00A15501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</w:p>
                      <w:p w14:paraId="7A6C27B8" w14:textId="77777777" w:rsidR="00585F6A" w:rsidRPr="00A15501" w:rsidRDefault="00585F6A" w:rsidP="00C00689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</w:p>
                    </w:tc>
                  </w:tr>
                </w:tbl>
                <w:p w14:paraId="0C2628A2" w14:textId="77777777" w:rsidR="007238A4" w:rsidRDefault="007238A4" w:rsidP="000F1360">
                  <w:pPr>
                    <w:spacing w:after="120"/>
                    <w:jc w:val="both"/>
                    <w:rPr>
                      <w:rFonts w:asciiTheme="majorHAnsi" w:hAnsiTheme="majorHAnsi"/>
                      <w:b/>
                      <w:lang w:val="sr-Cyrl-CS"/>
                    </w:rPr>
                  </w:pPr>
                </w:p>
                <w:p w14:paraId="2EF1913D" w14:textId="77777777" w:rsidR="007238A4" w:rsidRDefault="007238A4" w:rsidP="007238A4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  <w:lang w:val="sr-Cyrl-CS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>Предлог мера и активности за унапређење квалитета Стандарда 1</w:t>
                  </w:r>
                </w:p>
                <w:p w14:paraId="045DA875" w14:textId="77777777" w:rsidR="00A06D01" w:rsidRPr="00A22A4A" w:rsidRDefault="00B459CA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before="60" w:after="60"/>
                    <w:ind w:left="584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едукација и 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>разви</w:t>
                  </w:r>
                  <w:r w:rsidRPr="00B459CA">
                    <w:rPr>
                      <w:rFonts w:asciiTheme="majorHAnsi" w:hAnsiTheme="majorHAnsi"/>
                      <w:bCs/>
                      <w:lang w:val="sr-Cyrl-CS"/>
                    </w:rPr>
                    <w:t>јање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 свести код свих запослених</w:t>
                  </w:r>
                  <w:r w:rsidR="00F84C5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="00C30C9D">
                    <w:rPr>
                      <w:rFonts w:asciiTheme="majorHAnsi" w:hAnsiTheme="majorHAnsi"/>
                      <w:bCs/>
                    </w:rPr>
                    <w:t>и студената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 о потреби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>по</w:t>
                  </w:r>
                  <w:r w:rsidR="00F84C5A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тпуне посвећености унапређењу квалитета процеса и квалитета 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Академије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 xml:space="preserve"> у</w:t>
                  </w:r>
                  <w:r w:rsidR="00F84C5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="00A06D01" w:rsidRPr="00B459CA">
                    <w:rPr>
                      <w:rFonts w:asciiTheme="majorHAnsi" w:hAnsiTheme="majorHAnsi"/>
                      <w:bCs/>
                      <w:lang w:val="sr-Cyrl-CS"/>
                    </w:rPr>
                    <w:t>целини,</w:t>
                  </w:r>
                </w:p>
                <w:p w14:paraId="18143512" w14:textId="77777777" w:rsidR="00A22A4A" w:rsidRPr="00A22A4A" w:rsidRDefault="00C30C9D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п</w:t>
                  </w:r>
                  <w:r w:rsidR="00A22A4A" w:rsidRPr="00A22A4A">
                    <w:rPr>
                      <w:rFonts w:asciiTheme="majorHAnsi" w:hAnsiTheme="majorHAnsi"/>
                      <w:bCs/>
                    </w:rPr>
                    <w:t>ерманентно</w:t>
                  </w:r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A22A4A" w:rsidRPr="00A22A4A">
                    <w:rPr>
                      <w:rFonts w:asciiTheme="majorHAnsi" w:hAnsiTheme="majorHAnsi"/>
                      <w:bCs/>
                    </w:rPr>
                    <w:t>усавршавање</w:t>
                  </w:r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A22A4A" w:rsidRPr="00A22A4A">
                    <w:rPr>
                      <w:rFonts w:asciiTheme="majorHAnsi" w:hAnsiTheme="majorHAnsi"/>
                      <w:bCs/>
                    </w:rPr>
                    <w:t>процедура</w:t>
                  </w:r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A22A4A" w:rsidRPr="00A22A4A">
                    <w:rPr>
                      <w:rFonts w:asciiTheme="majorHAnsi" w:hAnsiTheme="majorHAnsi"/>
                      <w:bCs/>
                    </w:rPr>
                    <w:t>за</w:t>
                  </w:r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A22A4A" w:rsidRPr="00A22A4A">
                    <w:rPr>
                      <w:rFonts w:asciiTheme="majorHAnsi" w:hAnsiTheme="majorHAnsi"/>
                      <w:bCs/>
                    </w:rPr>
                    <w:t>обезбеђење и унапређење</w:t>
                  </w:r>
                  <w:r w:rsidR="00650BCA"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="00A22A4A" w:rsidRPr="00A22A4A">
                    <w:rPr>
                      <w:rFonts w:asciiTheme="majorHAnsi" w:hAnsiTheme="majorHAnsi"/>
                      <w:bCs/>
                    </w:rPr>
                    <w:t>квалитета</w:t>
                  </w:r>
                </w:p>
                <w:p w14:paraId="5A44BF97" w14:textId="77777777" w:rsidR="00650BCA" w:rsidRDefault="00A06D01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наставак развоја људских и инфраструктурних ресурса 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>Академије</w:t>
                  </w: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>, до нивоа који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>превазилази границе постављене стандардима за акредитацију установа и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>студијских програма, путем већих подстицаја запослених (посебно у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образо</w:t>
                  </w:r>
                  <w:r w:rsidR="009B60BF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вним, стручним и </w:t>
                  </w:r>
                  <w:r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научноистраживачким процесима) </w:t>
                  </w:r>
                </w:p>
                <w:p w14:paraId="1A76EBB5" w14:textId="77777777" w:rsidR="00A06D01" w:rsidRPr="00C60A12" w:rsidRDefault="00650BCA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>
                    <w:rPr>
                      <w:rFonts w:asciiTheme="majorHAnsi" w:hAnsiTheme="majorHAnsi"/>
                      <w:bCs/>
                      <w:lang w:val="sr-Cyrl-CS"/>
                    </w:rPr>
                    <w:t xml:space="preserve">унапређење 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>постојећ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ег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 простора и осталих инфраструктурних елемената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 xml:space="preserve"> на нивоу одсека и </w:t>
                  </w:r>
                  <w:r w:rsidR="00452D54">
                    <w:rPr>
                      <w:rFonts w:asciiTheme="majorHAnsi" w:hAnsiTheme="majorHAnsi"/>
                      <w:bCs/>
                      <w:lang w:val="sr-Cyrl-CS"/>
                    </w:rPr>
                    <w:t>Академије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, са посебним нагласком на 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рачунарску</w:t>
                  </w:r>
                  <w:r w:rsidR="00452D54">
                    <w:rPr>
                      <w:rFonts w:asciiTheme="majorHAnsi" w:hAnsiTheme="majorHAnsi"/>
                      <w:bCs/>
                      <w:lang w:val="sr-Cyrl-CS"/>
                    </w:rPr>
                    <w:t xml:space="preserve"> и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 xml:space="preserve"> лабора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="00A06D01" w:rsidRPr="00C60A12">
                    <w:rPr>
                      <w:rFonts w:asciiTheme="majorHAnsi" w:hAnsiTheme="majorHAnsi"/>
                      <w:bCs/>
                      <w:lang w:val="sr-Cyrl-CS"/>
                    </w:rPr>
                    <w:t>торијску опрему</w:t>
                  </w:r>
                </w:p>
                <w:p w14:paraId="5F3D4F26" w14:textId="77777777" w:rsidR="00A06D01" w:rsidRPr="008A7B65" w:rsidRDefault="00A06D01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усмеравање на већу повезаност образовне, уметничке и научноистраживачке са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стручном делатношћу, путем остваривања већег обима сарадње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са при</w:t>
                  </w:r>
                  <w:r w:rsidR="00F84C5A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вредом,</w:t>
                  </w:r>
                </w:p>
                <w:p w14:paraId="4E12612F" w14:textId="77777777" w:rsidR="009A2321" w:rsidRPr="00F84C5A" w:rsidRDefault="00A06D01" w:rsidP="00F84C5A">
                  <w:pPr>
                    <w:pStyle w:val="ListParagraph"/>
                    <w:numPr>
                      <w:ilvl w:val="0"/>
                      <w:numId w:val="24"/>
                    </w:numPr>
                    <w:spacing w:after="60"/>
                    <w:ind w:left="586" w:hanging="425"/>
                    <w:jc w:val="both"/>
                    <w:rPr>
                      <w:rFonts w:asciiTheme="majorHAnsi" w:hAnsiTheme="majorHAnsi"/>
                      <w:b/>
                      <w:color w:val="FF0000"/>
                      <w:lang w:val="sr-Cyrl-CS"/>
                    </w:rPr>
                  </w:pP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повишење сопствених критеријума за мерење квалитета у области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интерна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8A7B65">
                    <w:rPr>
                      <w:rFonts w:asciiTheme="majorHAnsi" w:hAnsiTheme="majorHAnsi"/>
                      <w:bCs/>
                      <w:lang w:val="sr-Cyrl-CS"/>
                    </w:rPr>
                    <w:t>ционализације, у смислу образoвног и научно-истраживачког рада,</w:t>
                  </w:r>
                  <w:r w:rsidR="00650BCA">
                    <w:rPr>
                      <w:rFonts w:asciiTheme="majorHAnsi" w:hAnsiTheme="majorHAnsi"/>
                      <w:bCs/>
                      <w:lang w:val="sr-Cyrl-CS"/>
                    </w:rPr>
                    <w:t xml:space="preserve"> </w:t>
                  </w:r>
                  <w:r w:rsidRPr="00363B34">
                    <w:rPr>
                      <w:rFonts w:asciiTheme="majorHAnsi" w:hAnsiTheme="majorHAnsi"/>
                      <w:bCs/>
                      <w:lang w:val="sr-Cyrl-CS"/>
                    </w:rPr>
                    <w:t>учешћем у међународним пројектима,</w:t>
                  </w:r>
                </w:p>
              </w:tc>
            </w:tr>
            <w:tr w:rsidR="00834D85" w14:paraId="4A983D90" w14:textId="77777777" w:rsidTr="00DA2F37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254F3D06" w14:textId="77777777" w:rsidR="00834D85" w:rsidRPr="00A15501" w:rsidRDefault="00264308" w:rsidP="00F414FB">
                  <w:pPr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834D85" w:rsidRPr="00A15501">
                    <w:rPr>
                      <w:rFonts w:asciiTheme="majorHAnsi" w:hAnsiTheme="majorHAnsi"/>
                      <w:b/>
                      <w:lang w:val="sr-Cyrl-CS"/>
                    </w:rPr>
                    <w:t>тандард 1</w:t>
                  </w:r>
                  <w:r w:rsidR="009B60BF" w:rsidRPr="009B60BF">
                    <w:rPr>
                      <w:rFonts w:asciiTheme="majorHAnsi" w:hAnsiTheme="majorHAnsi"/>
                      <w:b/>
                      <w:lang w:val="sr-Cyrl-CS"/>
                    </w:rPr>
                    <w:t>:</w:t>
                  </w:r>
                </w:p>
                <w:p w14:paraId="6BE4CA4C" w14:textId="77777777" w:rsidR="00834D85" w:rsidRPr="00A15501" w:rsidRDefault="00834D85" w:rsidP="00F414FB">
                  <w:pPr>
                    <w:widowControl w:val="0"/>
                    <w:autoSpaceDE w:val="0"/>
                    <w:rPr>
                      <w:rFonts w:asciiTheme="majorHAnsi" w:hAnsiTheme="majorHAnsi"/>
                    </w:rPr>
                  </w:pPr>
                  <w:hyperlink r:id="rId18" w:history="1">
                    <w:r w:rsidRPr="00347987">
                      <w:rPr>
                        <w:rStyle w:val="Hyperlink"/>
                        <w:rFonts w:asciiTheme="majorHAnsi" w:hAnsiTheme="majorHAnsi"/>
                        <w:b/>
                        <w:lang w:val="sr-Cyrl-CS"/>
                      </w:rPr>
                      <w:t>Прилог 1.1.</w:t>
                    </w:r>
                    <w:r w:rsidRPr="00347987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 xml:space="preserve"> Стратегија обезбеђења квалитета </w:t>
                    </w:r>
                  </w:hyperlink>
                  <w:r w:rsidRPr="00A15501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</w:p>
                <w:p w14:paraId="4331AB83" w14:textId="3236F312" w:rsidR="00834D85" w:rsidRPr="00DA2F37" w:rsidRDefault="00DA2F37" w:rsidP="00F414FB">
                  <w:pPr>
                    <w:widowControl w:val="0"/>
                    <w:autoSpaceDE w:val="0"/>
                    <w:rPr>
                      <w:rStyle w:val="Hyperlink"/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  <w:lang w:val="sr-Cyrl-CS"/>
                    </w:rPr>
                    <w:fldChar w:fldCharType="begin"/>
                  </w:r>
                  <w:r>
                    <w:rPr>
                      <w:rFonts w:asciiTheme="majorHAnsi" w:hAnsiTheme="majorHAnsi"/>
                      <w:b/>
                      <w:lang w:val="sr-Cyrl-CS"/>
                    </w:rPr>
                    <w:instrText>HYPERLINK "https://akademijanis.edu.rs/SAMOVREDNOVANJE_ATVSS_2025/Standard_1/Prilozi/Prilog_1.2_Subjekti_i_mere_obezbedjenja_kvaliteta.pdf"</w:instrText>
                  </w:r>
                  <w:r>
                    <w:rPr>
                      <w:rFonts w:asciiTheme="majorHAnsi" w:hAnsiTheme="majorHAnsi"/>
                      <w:b/>
                      <w:lang w:val="sr-Cyrl-CS"/>
                    </w:rPr>
                  </w:r>
                  <w:r>
                    <w:rPr>
                      <w:rFonts w:asciiTheme="majorHAnsi" w:hAnsiTheme="majorHAnsi"/>
                      <w:b/>
                      <w:lang w:val="sr-Cyrl-CS"/>
                    </w:rPr>
                    <w:fldChar w:fldCharType="separate"/>
                  </w:r>
                  <w:r w:rsidR="00834D85" w:rsidRPr="00DA2F37">
                    <w:rPr>
                      <w:rStyle w:val="Hyperlink"/>
                      <w:rFonts w:asciiTheme="majorHAnsi" w:hAnsiTheme="majorHAnsi"/>
                      <w:b/>
                      <w:lang w:val="sr-Cyrl-CS"/>
                    </w:rPr>
                    <w:t>Прилог 1.2</w:t>
                  </w:r>
                  <w:r w:rsidR="00834D85" w:rsidRPr="00DA2F37">
                    <w:rPr>
                      <w:rStyle w:val="Hyperlink"/>
                      <w:rFonts w:asciiTheme="majorHAnsi" w:hAnsiTheme="majorHAnsi"/>
                      <w:lang w:val="sr-Cyrl-CS"/>
                    </w:rPr>
                    <w:t xml:space="preserve">. Мере и субјекти обезбеђења квалитета </w:t>
                  </w:r>
                </w:p>
                <w:p w14:paraId="638D9BA0" w14:textId="0FE5EC9C" w:rsidR="00834D85" w:rsidRPr="00A15501" w:rsidRDefault="00DA2F37" w:rsidP="00264308">
                  <w:pPr>
                    <w:widowControl w:val="0"/>
                    <w:autoSpaceDE w:val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b/>
                      <w:lang w:val="sr-Cyrl-CS"/>
                    </w:rPr>
                    <w:fldChar w:fldCharType="end"/>
                  </w:r>
                  <w:hyperlink r:id="rId19" w:history="1">
                    <w:r w:rsidR="00834D85" w:rsidRPr="00347987">
                      <w:rPr>
                        <w:rStyle w:val="Hyperlink"/>
                        <w:rFonts w:asciiTheme="majorHAnsi" w:hAnsiTheme="majorHAnsi"/>
                        <w:b/>
                        <w:lang w:val="sr-Cyrl-CS"/>
                      </w:rPr>
                      <w:t>Прилог 1.3</w:t>
                    </w:r>
                    <w:r w:rsidR="00834D85" w:rsidRPr="00347987">
                      <w:rPr>
                        <w:rStyle w:val="Hyperlink"/>
                        <w:rFonts w:asciiTheme="majorHAnsi" w:hAnsiTheme="majorHAnsi"/>
                        <w:lang w:val="sr-Cyrl-CS"/>
                      </w:rPr>
                      <w:t>. Акциони план за спровођење стратегије и одлуке о његовом усвајању</w:t>
                    </w:r>
                  </w:hyperlink>
                  <w:r w:rsidR="00834D85" w:rsidRPr="00A15501">
                    <w:rPr>
                      <w:rFonts w:asciiTheme="majorHAnsi" w:hAnsiTheme="majorHAnsi"/>
                      <w:lang w:val="sr-Cyrl-CS"/>
                    </w:rPr>
                    <w:t xml:space="preserve"> </w:t>
                  </w:r>
                </w:p>
              </w:tc>
            </w:tr>
          </w:tbl>
          <w:p w14:paraId="4D7EA17E" w14:textId="77777777" w:rsidR="0029095C" w:rsidRPr="000F1360" w:rsidRDefault="0029095C" w:rsidP="00C625CB">
            <w:pPr>
              <w:jc w:val="both"/>
              <w:rPr>
                <w:rFonts w:ascii="Cambria" w:hAnsi="Cambria"/>
              </w:rPr>
            </w:pPr>
          </w:p>
          <w:p w14:paraId="0E0632FF" w14:textId="77777777" w:rsidR="00C57919" w:rsidRPr="00854D62" w:rsidRDefault="00C57919" w:rsidP="000779C8">
            <w:pPr>
              <w:jc w:val="both"/>
              <w:rPr>
                <w:rFonts w:ascii="Cambria" w:hAnsi="Cambria"/>
                <w:color w:val="FF0000"/>
              </w:rPr>
            </w:pPr>
          </w:p>
          <w:p w14:paraId="1EDF1A69" w14:textId="77777777"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14:paraId="7004E357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06927F77" w14:textId="77777777"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3D309946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0C74F03E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7D313DE1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651FEC41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14B75BD9" w14:textId="77777777"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594B4C54" w14:textId="77777777"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14:paraId="38BC0AB5" w14:textId="77777777"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20F39394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05F2ACEC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20"/>
      <w:footerReference w:type="even" r:id="rId21"/>
      <w:footerReference w:type="default" r:id="rId22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63FA" w14:textId="77777777" w:rsidR="005E1DF7" w:rsidRDefault="005E1DF7">
      <w:r>
        <w:separator/>
      </w:r>
    </w:p>
  </w:endnote>
  <w:endnote w:type="continuationSeparator" w:id="0">
    <w:p w14:paraId="68DD95E2" w14:textId="77777777" w:rsidR="005E1DF7" w:rsidRDefault="005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4604" w14:textId="77777777" w:rsidR="008564AC" w:rsidRDefault="00A31836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AE4D1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40A0" w14:textId="77777777" w:rsidR="009F4FC8" w:rsidRDefault="009F4FC8">
    <w:pPr>
      <w:pStyle w:val="Footer"/>
      <w:jc w:val="right"/>
    </w:pPr>
  </w:p>
  <w:p w14:paraId="6C89F398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71CA" w14:textId="77777777" w:rsidR="005E1DF7" w:rsidRDefault="005E1DF7">
      <w:r>
        <w:separator/>
      </w:r>
    </w:p>
  </w:footnote>
  <w:footnote w:type="continuationSeparator" w:id="0">
    <w:p w14:paraId="2E8C6C18" w14:textId="77777777" w:rsidR="005E1DF7" w:rsidRDefault="005E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4B4393C9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3ACA6C9" w14:textId="77777777" w:rsidR="00834D85" w:rsidRDefault="003153A8" w:rsidP="003153A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Академије: СТАНДАРД 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1873686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7A896F71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0C36"/>
    <w:multiLevelType w:val="hybridMultilevel"/>
    <w:tmpl w:val="352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A2C2A"/>
    <w:multiLevelType w:val="hybridMultilevel"/>
    <w:tmpl w:val="4DCACACC"/>
    <w:lvl w:ilvl="0" w:tplc="9F68DF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62B2B"/>
    <w:multiLevelType w:val="hybridMultilevel"/>
    <w:tmpl w:val="B000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83C99"/>
    <w:multiLevelType w:val="hybridMultilevel"/>
    <w:tmpl w:val="F534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DA4"/>
    <w:multiLevelType w:val="hybridMultilevel"/>
    <w:tmpl w:val="5468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08996">
    <w:abstractNumId w:val="9"/>
  </w:num>
  <w:num w:numId="2" w16cid:durableId="1229345860">
    <w:abstractNumId w:val="7"/>
  </w:num>
  <w:num w:numId="3" w16cid:durableId="556598282">
    <w:abstractNumId w:val="6"/>
  </w:num>
  <w:num w:numId="4" w16cid:durableId="814685448">
    <w:abstractNumId w:val="5"/>
  </w:num>
  <w:num w:numId="5" w16cid:durableId="118688703">
    <w:abstractNumId w:val="4"/>
  </w:num>
  <w:num w:numId="6" w16cid:durableId="1211840929">
    <w:abstractNumId w:val="8"/>
  </w:num>
  <w:num w:numId="7" w16cid:durableId="1913806594">
    <w:abstractNumId w:val="3"/>
  </w:num>
  <w:num w:numId="8" w16cid:durableId="1044526344">
    <w:abstractNumId w:val="2"/>
  </w:num>
  <w:num w:numId="9" w16cid:durableId="1363625846">
    <w:abstractNumId w:val="1"/>
  </w:num>
  <w:num w:numId="10" w16cid:durableId="1123767980">
    <w:abstractNumId w:val="0"/>
  </w:num>
  <w:num w:numId="11" w16cid:durableId="497888162">
    <w:abstractNumId w:val="23"/>
  </w:num>
  <w:num w:numId="12" w16cid:durableId="1877960021">
    <w:abstractNumId w:val="12"/>
  </w:num>
  <w:num w:numId="13" w16cid:durableId="1498500188">
    <w:abstractNumId w:val="19"/>
  </w:num>
  <w:num w:numId="14" w16cid:durableId="1791590123">
    <w:abstractNumId w:val="16"/>
  </w:num>
  <w:num w:numId="15" w16cid:durableId="107746959">
    <w:abstractNumId w:val="21"/>
  </w:num>
  <w:num w:numId="16" w16cid:durableId="360592452">
    <w:abstractNumId w:val="11"/>
  </w:num>
  <w:num w:numId="17" w16cid:durableId="547688412">
    <w:abstractNumId w:val="10"/>
  </w:num>
  <w:num w:numId="18" w16cid:durableId="1510677187">
    <w:abstractNumId w:val="15"/>
  </w:num>
  <w:num w:numId="19" w16cid:durableId="447696591">
    <w:abstractNumId w:val="18"/>
  </w:num>
  <w:num w:numId="20" w16cid:durableId="337579283">
    <w:abstractNumId w:val="20"/>
  </w:num>
  <w:num w:numId="21" w16cid:durableId="1333601370">
    <w:abstractNumId w:val="17"/>
  </w:num>
  <w:num w:numId="22" w16cid:durableId="1332753403">
    <w:abstractNumId w:val="22"/>
  </w:num>
  <w:num w:numId="23" w16cid:durableId="1079710632">
    <w:abstractNumId w:val="14"/>
  </w:num>
  <w:num w:numId="24" w16cid:durableId="138918788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0FC6"/>
    <w:rsid w:val="00014104"/>
    <w:rsid w:val="00017623"/>
    <w:rsid w:val="00020AB2"/>
    <w:rsid w:val="00020B7A"/>
    <w:rsid w:val="00023789"/>
    <w:rsid w:val="000311F7"/>
    <w:rsid w:val="00035D2D"/>
    <w:rsid w:val="00037A25"/>
    <w:rsid w:val="00040C21"/>
    <w:rsid w:val="000476C1"/>
    <w:rsid w:val="00052275"/>
    <w:rsid w:val="000635CA"/>
    <w:rsid w:val="000761A3"/>
    <w:rsid w:val="000779C8"/>
    <w:rsid w:val="00082ADE"/>
    <w:rsid w:val="00085F9A"/>
    <w:rsid w:val="000862A2"/>
    <w:rsid w:val="000862D4"/>
    <w:rsid w:val="000864E3"/>
    <w:rsid w:val="000909A1"/>
    <w:rsid w:val="0009675F"/>
    <w:rsid w:val="000A3653"/>
    <w:rsid w:val="000A3D2B"/>
    <w:rsid w:val="000A3FB4"/>
    <w:rsid w:val="000C3081"/>
    <w:rsid w:val="000E5B6D"/>
    <w:rsid w:val="000F0B98"/>
    <w:rsid w:val="000F1360"/>
    <w:rsid w:val="000F73EC"/>
    <w:rsid w:val="0010057D"/>
    <w:rsid w:val="00100A15"/>
    <w:rsid w:val="00100A41"/>
    <w:rsid w:val="00110CF2"/>
    <w:rsid w:val="00113825"/>
    <w:rsid w:val="00113E1F"/>
    <w:rsid w:val="0011730F"/>
    <w:rsid w:val="00125FB9"/>
    <w:rsid w:val="00132D16"/>
    <w:rsid w:val="00141D0A"/>
    <w:rsid w:val="00143B01"/>
    <w:rsid w:val="00146279"/>
    <w:rsid w:val="00154400"/>
    <w:rsid w:val="001629ED"/>
    <w:rsid w:val="00164A81"/>
    <w:rsid w:val="001656DC"/>
    <w:rsid w:val="00182801"/>
    <w:rsid w:val="00192611"/>
    <w:rsid w:val="00195EEE"/>
    <w:rsid w:val="001A3B66"/>
    <w:rsid w:val="001B39B7"/>
    <w:rsid w:val="001C38F8"/>
    <w:rsid w:val="001C6B32"/>
    <w:rsid w:val="001D522F"/>
    <w:rsid w:val="001E1A1D"/>
    <w:rsid w:val="001E3F58"/>
    <w:rsid w:val="001E49F2"/>
    <w:rsid w:val="001E4B2C"/>
    <w:rsid w:val="00211744"/>
    <w:rsid w:val="00214E60"/>
    <w:rsid w:val="00216374"/>
    <w:rsid w:val="002175D4"/>
    <w:rsid w:val="00237A54"/>
    <w:rsid w:val="002462C0"/>
    <w:rsid w:val="00246D0F"/>
    <w:rsid w:val="00247F29"/>
    <w:rsid w:val="00250FE6"/>
    <w:rsid w:val="00251CA8"/>
    <w:rsid w:val="00256042"/>
    <w:rsid w:val="00264308"/>
    <w:rsid w:val="00264C23"/>
    <w:rsid w:val="00267D98"/>
    <w:rsid w:val="002732E4"/>
    <w:rsid w:val="00287F1A"/>
    <w:rsid w:val="0029095C"/>
    <w:rsid w:val="00290E45"/>
    <w:rsid w:val="00294CB6"/>
    <w:rsid w:val="0029575E"/>
    <w:rsid w:val="002A1CB4"/>
    <w:rsid w:val="002A2A66"/>
    <w:rsid w:val="002A4907"/>
    <w:rsid w:val="002A7CC7"/>
    <w:rsid w:val="002C3565"/>
    <w:rsid w:val="002C7375"/>
    <w:rsid w:val="002D7B06"/>
    <w:rsid w:val="002E0B90"/>
    <w:rsid w:val="002E5C01"/>
    <w:rsid w:val="002F7AF5"/>
    <w:rsid w:val="00300CF1"/>
    <w:rsid w:val="00310094"/>
    <w:rsid w:val="00310FB5"/>
    <w:rsid w:val="00313547"/>
    <w:rsid w:val="003153A8"/>
    <w:rsid w:val="00315854"/>
    <w:rsid w:val="00316BC6"/>
    <w:rsid w:val="00320491"/>
    <w:rsid w:val="00323A60"/>
    <w:rsid w:val="00323C0D"/>
    <w:rsid w:val="00323E0B"/>
    <w:rsid w:val="00336E66"/>
    <w:rsid w:val="003410BD"/>
    <w:rsid w:val="00346247"/>
    <w:rsid w:val="00346C54"/>
    <w:rsid w:val="003474B7"/>
    <w:rsid w:val="00347987"/>
    <w:rsid w:val="003531AA"/>
    <w:rsid w:val="00362114"/>
    <w:rsid w:val="00363955"/>
    <w:rsid w:val="00363B34"/>
    <w:rsid w:val="00366396"/>
    <w:rsid w:val="003824BD"/>
    <w:rsid w:val="0039137A"/>
    <w:rsid w:val="0039429F"/>
    <w:rsid w:val="003A2870"/>
    <w:rsid w:val="003B50C9"/>
    <w:rsid w:val="003B66B0"/>
    <w:rsid w:val="003C56DB"/>
    <w:rsid w:val="003D3ABF"/>
    <w:rsid w:val="003D49D6"/>
    <w:rsid w:val="003E50E6"/>
    <w:rsid w:val="003E5C7E"/>
    <w:rsid w:val="003E633B"/>
    <w:rsid w:val="003F5D8E"/>
    <w:rsid w:val="003F7139"/>
    <w:rsid w:val="00401E54"/>
    <w:rsid w:val="00403BA9"/>
    <w:rsid w:val="00406630"/>
    <w:rsid w:val="00412F70"/>
    <w:rsid w:val="00413DB1"/>
    <w:rsid w:val="004153DC"/>
    <w:rsid w:val="0043043C"/>
    <w:rsid w:val="00436B81"/>
    <w:rsid w:val="0043769D"/>
    <w:rsid w:val="004456BF"/>
    <w:rsid w:val="004475BC"/>
    <w:rsid w:val="00452D54"/>
    <w:rsid w:val="0045428E"/>
    <w:rsid w:val="00456EBD"/>
    <w:rsid w:val="00457C2C"/>
    <w:rsid w:val="00483AF7"/>
    <w:rsid w:val="00487C79"/>
    <w:rsid w:val="00495EF3"/>
    <w:rsid w:val="004A6677"/>
    <w:rsid w:val="004A704F"/>
    <w:rsid w:val="004B726F"/>
    <w:rsid w:val="004C03BE"/>
    <w:rsid w:val="004C324A"/>
    <w:rsid w:val="004C56D2"/>
    <w:rsid w:val="004C76AC"/>
    <w:rsid w:val="004E6D36"/>
    <w:rsid w:val="004F02BF"/>
    <w:rsid w:val="005063BC"/>
    <w:rsid w:val="0051092F"/>
    <w:rsid w:val="00517158"/>
    <w:rsid w:val="00517FCD"/>
    <w:rsid w:val="00521B9D"/>
    <w:rsid w:val="005365F6"/>
    <w:rsid w:val="00536684"/>
    <w:rsid w:val="00542C7F"/>
    <w:rsid w:val="00556874"/>
    <w:rsid w:val="00556907"/>
    <w:rsid w:val="00556DB0"/>
    <w:rsid w:val="005648F6"/>
    <w:rsid w:val="00566EE3"/>
    <w:rsid w:val="005715A3"/>
    <w:rsid w:val="00572285"/>
    <w:rsid w:val="00575653"/>
    <w:rsid w:val="0057583A"/>
    <w:rsid w:val="00577E8F"/>
    <w:rsid w:val="00585F6A"/>
    <w:rsid w:val="00586FC5"/>
    <w:rsid w:val="00590164"/>
    <w:rsid w:val="005A0B76"/>
    <w:rsid w:val="005B31B0"/>
    <w:rsid w:val="005C5B98"/>
    <w:rsid w:val="005C700C"/>
    <w:rsid w:val="005C7D90"/>
    <w:rsid w:val="005D3A47"/>
    <w:rsid w:val="005E1DF7"/>
    <w:rsid w:val="005E3212"/>
    <w:rsid w:val="005E38DB"/>
    <w:rsid w:val="005F24C2"/>
    <w:rsid w:val="005F6771"/>
    <w:rsid w:val="00605CD6"/>
    <w:rsid w:val="00610E5C"/>
    <w:rsid w:val="00631756"/>
    <w:rsid w:val="00635B39"/>
    <w:rsid w:val="00636249"/>
    <w:rsid w:val="006435FA"/>
    <w:rsid w:val="0064661F"/>
    <w:rsid w:val="00650BCA"/>
    <w:rsid w:val="00650CAE"/>
    <w:rsid w:val="00657B91"/>
    <w:rsid w:val="00657CB8"/>
    <w:rsid w:val="00660BFA"/>
    <w:rsid w:val="006734B8"/>
    <w:rsid w:val="00677911"/>
    <w:rsid w:val="0069243A"/>
    <w:rsid w:val="006929BE"/>
    <w:rsid w:val="006941A8"/>
    <w:rsid w:val="00697B9A"/>
    <w:rsid w:val="006C0F87"/>
    <w:rsid w:val="006C45F7"/>
    <w:rsid w:val="006C6451"/>
    <w:rsid w:val="006E00DC"/>
    <w:rsid w:val="006E29C5"/>
    <w:rsid w:val="006E4B95"/>
    <w:rsid w:val="006F061C"/>
    <w:rsid w:val="00712434"/>
    <w:rsid w:val="00717826"/>
    <w:rsid w:val="007238A4"/>
    <w:rsid w:val="00724FA0"/>
    <w:rsid w:val="00730916"/>
    <w:rsid w:val="007344BE"/>
    <w:rsid w:val="00734A97"/>
    <w:rsid w:val="0074189D"/>
    <w:rsid w:val="00747277"/>
    <w:rsid w:val="0075056F"/>
    <w:rsid w:val="00756142"/>
    <w:rsid w:val="00780B45"/>
    <w:rsid w:val="00780D32"/>
    <w:rsid w:val="0078323F"/>
    <w:rsid w:val="007A494E"/>
    <w:rsid w:val="007A7483"/>
    <w:rsid w:val="007B0369"/>
    <w:rsid w:val="007B301F"/>
    <w:rsid w:val="007C2EB2"/>
    <w:rsid w:val="007D44F9"/>
    <w:rsid w:val="007E62E9"/>
    <w:rsid w:val="007F26F9"/>
    <w:rsid w:val="007F2B68"/>
    <w:rsid w:val="008015EA"/>
    <w:rsid w:val="00803D24"/>
    <w:rsid w:val="008065E2"/>
    <w:rsid w:val="0081096D"/>
    <w:rsid w:val="00816A4A"/>
    <w:rsid w:val="00816DA8"/>
    <w:rsid w:val="008248EF"/>
    <w:rsid w:val="008252C9"/>
    <w:rsid w:val="00831062"/>
    <w:rsid w:val="00832B68"/>
    <w:rsid w:val="00834D85"/>
    <w:rsid w:val="00836B35"/>
    <w:rsid w:val="00837BB5"/>
    <w:rsid w:val="00845B82"/>
    <w:rsid w:val="00851344"/>
    <w:rsid w:val="00852642"/>
    <w:rsid w:val="00854B62"/>
    <w:rsid w:val="00854D62"/>
    <w:rsid w:val="008564AC"/>
    <w:rsid w:val="00857AC1"/>
    <w:rsid w:val="0086607E"/>
    <w:rsid w:val="008705B4"/>
    <w:rsid w:val="00876AE6"/>
    <w:rsid w:val="0088615D"/>
    <w:rsid w:val="00892AF5"/>
    <w:rsid w:val="00892C0D"/>
    <w:rsid w:val="00895301"/>
    <w:rsid w:val="0089590D"/>
    <w:rsid w:val="00897A46"/>
    <w:rsid w:val="008A209D"/>
    <w:rsid w:val="008A7B65"/>
    <w:rsid w:val="008B23A0"/>
    <w:rsid w:val="008C1340"/>
    <w:rsid w:val="008C45A1"/>
    <w:rsid w:val="008C59B2"/>
    <w:rsid w:val="008D059F"/>
    <w:rsid w:val="008E64CA"/>
    <w:rsid w:val="008F2E01"/>
    <w:rsid w:val="00901F3D"/>
    <w:rsid w:val="00902184"/>
    <w:rsid w:val="00905C49"/>
    <w:rsid w:val="009119C7"/>
    <w:rsid w:val="00933112"/>
    <w:rsid w:val="0093412B"/>
    <w:rsid w:val="009348B7"/>
    <w:rsid w:val="00947159"/>
    <w:rsid w:val="00947291"/>
    <w:rsid w:val="009739E2"/>
    <w:rsid w:val="00974D24"/>
    <w:rsid w:val="0097787F"/>
    <w:rsid w:val="00983022"/>
    <w:rsid w:val="00984810"/>
    <w:rsid w:val="00991184"/>
    <w:rsid w:val="009A0212"/>
    <w:rsid w:val="009A058F"/>
    <w:rsid w:val="009A2321"/>
    <w:rsid w:val="009A4EE3"/>
    <w:rsid w:val="009B02D2"/>
    <w:rsid w:val="009B474D"/>
    <w:rsid w:val="009B597F"/>
    <w:rsid w:val="009B5B6F"/>
    <w:rsid w:val="009B60BF"/>
    <w:rsid w:val="009C07ED"/>
    <w:rsid w:val="009C4B5E"/>
    <w:rsid w:val="009D3A4C"/>
    <w:rsid w:val="009D4A95"/>
    <w:rsid w:val="009F4FC8"/>
    <w:rsid w:val="009F5E57"/>
    <w:rsid w:val="00A026EC"/>
    <w:rsid w:val="00A06D01"/>
    <w:rsid w:val="00A14409"/>
    <w:rsid w:val="00A15501"/>
    <w:rsid w:val="00A16302"/>
    <w:rsid w:val="00A16EC0"/>
    <w:rsid w:val="00A205AF"/>
    <w:rsid w:val="00A2164F"/>
    <w:rsid w:val="00A22A4A"/>
    <w:rsid w:val="00A22CB4"/>
    <w:rsid w:val="00A23C14"/>
    <w:rsid w:val="00A26311"/>
    <w:rsid w:val="00A27018"/>
    <w:rsid w:val="00A31836"/>
    <w:rsid w:val="00A37097"/>
    <w:rsid w:val="00A46347"/>
    <w:rsid w:val="00A46F77"/>
    <w:rsid w:val="00A52B74"/>
    <w:rsid w:val="00A53D97"/>
    <w:rsid w:val="00A57658"/>
    <w:rsid w:val="00A7179B"/>
    <w:rsid w:val="00A745D0"/>
    <w:rsid w:val="00A80F1D"/>
    <w:rsid w:val="00A87527"/>
    <w:rsid w:val="00A94D51"/>
    <w:rsid w:val="00AA145B"/>
    <w:rsid w:val="00AA2466"/>
    <w:rsid w:val="00AA7EDD"/>
    <w:rsid w:val="00AB063A"/>
    <w:rsid w:val="00AB096A"/>
    <w:rsid w:val="00AC02C9"/>
    <w:rsid w:val="00AC6D1A"/>
    <w:rsid w:val="00AD6B03"/>
    <w:rsid w:val="00AE0822"/>
    <w:rsid w:val="00AE295C"/>
    <w:rsid w:val="00AE44C6"/>
    <w:rsid w:val="00AE76F8"/>
    <w:rsid w:val="00AF41CE"/>
    <w:rsid w:val="00AF4E8E"/>
    <w:rsid w:val="00AF62AB"/>
    <w:rsid w:val="00AF6C4A"/>
    <w:rsid w:val="00B0040B"/>
    <w:rsid w:val="00B04759"/>
    <w:rsid w:val="00B12604"/>
    <w:rsid w:val="00B1325B"/>
    <w:rsid w:val="00B15CFE"/>
    <w:rsid w:val="00B267EE"/>
    <w:rsid w:val="00B3098F"/>
    <w:rsid w:val="00B30E34"/>
    <w:rsid w:val="00B44EDE"/>
    <w:rsid w:val="00B459CA"/>
    <w:rsid w:val="00B45F97"/>
    <w:rsid w:val="00B47AC8"/>
    <w:rsid w:val="00B519D5"/>
    <w:rsid w:val="00B53E3D"/>
    <w:rsid w:val="00B54D3A"/>
    <w:rsid w:val="00B57556"/>
    <w:rsid w:val="00B66ADF"/>
    <w:rsid w:val="00B7127C"/>
    <w:rsid w:val="00B7502B"/>
    <w:rsid w:val="00B852E6"/>
    <w:rsid w:val="00B90415"/>
    <w:rsid w:val="00BB04FE"/>
    <w:rsid w:val="00BB342B"/>
    <w:rsid w:val="00BB36F7"/>
    <w:rsid w:val="00BB7B4B"/>
    <w:rsid w:val="00BC7641"/>
    <w:rsid w:val="00BF5997"/>
    <w:rsid w:val="00C00689"/>
    <w:rsid w:val="00C0452E"/>
    <w:rsid w:val="00C04A10"/>
    <w:rsid w:val="00C04BCC"/>
    <w:rsid w:val="00C07496"/>
    <w:rsid w:val="00C1166D"/>
    <w:rsid w:val="00C1190E"/>
    <w:rsid w:val="00C16F12"/>
    <w:rsid w:val="00C17B7E"/>
    <w:rsid w:val="00C25273"/>
    <w:rsid w:val="00C273ED"/>
    <w:rsid w:val="00C30C9D"/>
    <w:rsid w:val="00C36336"/>
    <w:rsid w:val="00C57919"/>
    <w:rsid w:val="00C60A12"/>
    <w:rsid w:val="00C625CB"/>
    <w:rsid w:val="00C63DC3"/>
    <w:rsid w:val="00C663D4"/>
    <w:rsid w:val="00C66935"/>
    <w:rsid w:val="00C72A01"/>
    <w:rsid w:val="00C7303E"/>
    <w:rsid w:val="00C76ECE"/>
    <w:rsid w:val="00C8455F"/>
    <w:rsid w:val="00C85FE1"/>
    <w:rsid w:val="00C96EDB"/>
    <w:rsid w:val="00CA4AB0"/>
    <w:rsid w:val="00CB0298"/>
    <w:rsid w:val="00CB09B4"/>
    <w:rsid w:val="00CB61F1"/>
    <w:rsid w:val="00CC12FD"/>
    <w:rsid w:val="00CC4BA6"/>
    <w:rsid w:val="00CC7DF4"/>
    <w:rsid w:val="00CD0516"/>
    <w:rsid w:val="00CD1D10"/>
    <w:rsid w:val="00CF20D1"/>
    <w:rsid w:val="00CF37E7"/>
    <w:rsid w:val="00D13357"/>
    <w:rsid w:val="00D13F08"/>
    <w:rsid w:val="00D17B6C"/>
    <w:rsid w:val="00D40283"/>
    <w:rsid w:val="00D41F85"/>
    <w:rsid w:val="00D43DBE"/>
    <w:rsid w:val="00D53BE4"/>
    <w:rsid w:val="00D661D4"/>
    <w:rsid w:val="00D74531"/>
    <w:rsid w:val="00D75D57"/>
    <w:rsid w:val="00D8098D"/>
    <w:rsid w:val="00D84303"/>
    <w:rsid w:val="00D93E52"/>
    <w:rsid w:val="00D951BD"/>
    <w:rsid w:val="00DA2196"/>
    <w:rsid w:val="00DA2F37"/>
    <w:rsid w:val="00DB2467"/>
    <w:rsid w:val="00DB6B9D"/>
    <w:rsid w:val="00DC027A"/>
    <w:rsid w:val="00DC1B63"/>
    <w:rsid w:val="00DC44B6"/>
    <w:rsid w:val="00DE30A8"/>
    <w:rsid w:val="00DE331F"/>
    <w:rsid w:val="00DE6815"/>
    <w:rsid w:val="00DF0D85"/>
    <w:rsid w:val="00DF6377"/>
    <w:rsid w:val="00DF6832"/>
    <w:rsid w:val="00E04942"/>
    <w:rsid w:val="00E22834"/>
    <w:rsid w:val="00E25A52"/>
    <w:rsid w:val="00E30617"/>
    <w:rsid w:val="00E30C68"/>
    <w:rsid w:val="00E555A9"/>
    <w:rsid w:val="00E56705"/>
    <w:rsid w:val="00E63056"/>
    <w:rsid w:val="00E67311"/>
    <w:rsid w:val="00E73B92"/>
    <w:rsid w:val="00E759CE"/>
    <w:rsid w:val="00E918A3"/>
    <w:rsid w:val="00E93D0E"/>
    <w:rsid w:val="00E963AA"/>
    <w:rsid w:val="00E96CDC"/>
    <w:rsid w:val="00E96F77"/>
    <w:rsid w:val="00EC671F"/>
    <w:rsid w:val="00EC77D7"/>
    <w:rsid w:val="00ED219A"/>
    <w:rsid w:val="00EE0DF9"/>
    <w:rsid w:val="00EE1732"/>
    <w:rsid w:val="00EE3806"/>
    <w:rsid w:val="00EE4F6E"/>
    <w:rsid w:val="00EF21FA"/>
    <w:rsid w:val="00F0201A"/>
    <w:rsid w:val="00F347AE"/>
    <w:rsid w:val="00F35F9B"/>
    <w:rsid w:val="00F37924"/>
    <w:rsid w:val="00F4104D"/>
    <w:rsid w:val="00F41DA6"/>
    <w:rsid w:val="00F55E33"/>
    <w:rsid w:val="00F60694"/>
    <w:rsid w:val="00F73BAE"/>
    <w:rsid w:val="00F74A01"/>
    <w:rsid w:val="00F813C1"/>
    <w:rsid w:val="00F82517"/>
    <w:rsid w:val="00F84081"/>
    <w:rsid w:val="00F84597"/>
    <w:rsid w:val="00F84C5A"/>
    <w:rsid w:val="00F94CB0"/>
    <w:rsid w:val="00F96D67"/>
    <w:rsid w:val="00FA0F1C"/>
    <w:rsid w:val="00FA1D9E"/>
    <w:rsid w:val="00FA5430"/>
    <w:rsid w:val="00FC2A63"/>
    <w:rsid w:val="00FC34D5"/>
    <w:rsid w:val="00FD1D0A"/>
    <w:rsid w:val="00FE527F"/>
    <w:rsid w:val="00FF0CEA"/>
    <w:rsid w:val="00FF1BCB"/>
    <w:rsid w:val="00FF2412"/>
    <w:rsid w:val="00FF2465"/>
    <w:rsid w:val="00FF2CEA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A9877BB"/>
  <w15:docId w15:val="{D0037545-C51F-4529-B946-E5E52404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paragraph" w:styleId="Revision">
    <w:name w:val="Revision"/>
    <w:hidden/>
    <w:uiPriority w:val="99"/>
    <w:semiHidden/>
    <w:rsid w:val="0089590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0/06/Pravilnik_o_obezbedjenju_kontroli_i_unapredjenju_kvaliteta_ATVSS_25062020.pdf" TargetMode="External"/><Relationship Id="rId18" Type="http://schemas.openxmlformats.org/officeDocument/2006/relationships/hyperlink" Target="https://akademijanis.edu.rs/wp-content/uploads/2020/01/Strategija_obezbedjenja_kvaliteta_18092019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17" Type="http://schemas.openxmlformats.org/officeDocument/2006/relationships/hyperlink" Target="https://akademijanis.edu.rs/wp-content/uploads/2024/09/Odluka_o_usvajanju_akcionog_plana_i_Akcioni_plan_03042024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0/01/Strategija_obezbedjenja_kvaliteta_18092019.pdf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0/06/Pravilnik_o_samovrednovanju_ATVSS_2506202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kademijanis.edu.rs/wp-content/uploads/2023/03/Precisceni-tekst-Statuta-skeniran.pdf" TargetMode="External"/><Relationship Id="rId19" Type="http://schemas.openxmlformats.org/officeDocument/2006/relationships/hyperlink" Target="https://akademijanis.edu.rs/SAMOVREDNOVANJE_ATVSS_2025/Standard_1/Prilozi/Prilog_1.3_Akcioni_plan_i_odluka_o_usvajanju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0/06/Pravilnik_o_radu_komisije_za_kvalitet_i_samovrednovanje_ATVSS_25062020.pdf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D28DF"/>
    <w:rsid w:val="001E1A1D"/>
    <w:rsid w:val="00230FCC"/>
    <w:rsid w:val="003747CB"/>
    <w:rsid w:val="00377067"/>
    <w:rsid w:val="004A4E15"/>
    <w:rsid w:val="004C324A"/>
    <w:rsid w:val="004C56D2"/>
    <w:rsid w:val="004D5288"/>
    <w:rsid w:val="004F5B32"/>
    <w:rsid w:val="0056117D"/>
    <w:rsid w:val="005A335B"/>
    <w:rsid w:val="005F7C64"/>
    <w:rsid w:val="00603890"/>
    <w:rsid w:val="00605CD6"/>
    <w:rsid w:val="006C0C2F"/>
    <w:rsid w:val="006E1F40"/>
    <w:rsid w:val="00803394"/>
    <w:rsid w:val="00A15AC6"/>
    <w:rsid w:val="00A322BB"/>
    <w:rsid w:val="00A463EE"/>
    <w:rsid w:val="00AF6048"/>
    <w:rsid w:val="00B55C7D"/>
    <w:rsid w:val="00C7272B"/>
    <w:rsid w:val="00CB09B4"/>
    <w:rsid w:val="00D139D7"/>
    <w:rsid w:val="00E0054D"/>
    <w:rsid w:val="00E66650"/>
    <w:rsid w:val="00EF024D"/>
    <w:rsid w:val="00F7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7AC33-9DB3-4367-973D-C40A8F9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1963</Words>
  <Characters>13216</Characters>
  <Application>Microsoft Office Word</Application>
  <DocSecurity>0</DocSecurity>
  <Lines>388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Академије: СТАНДАРД 1</vt:lpstr>
    </vt:vector>
  </TitlesOfParts>
  <Company/>
  <LinksUpToDate>false</LinksUpToDate>
  <CharactersWithSpaces>15073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Академије: СТАНДАРД 1</dc:title>
  <dc:creator>Sasa</dc:creator>
  <cp:lastModifiedBy>IT</cp:lastModifiedBy>
  <cp:revision>16</cp:revision>
  <cp:lastPrinted>2017-04-30T19:55:00Z</cp:lastPrinted>
  <dcterms:created xsi:type="dcterms:W3CDTF">2025-03-29T09:30:00Z</dcterms:created>
  <dcterms:modified xsi:type="dcterms:W3CDTF">2025-11-24T18:50:00Z</dcterms:modified>
</cp:coreProperties>
</file>