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57" w:rsidRPr="00135F74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70"/>
      </w:tblGrid>
      <w:tr w:rsidR="00575653" w:rsidRPr="00E918A3" w:rsidTr="00D75D57">
        <w:trPr>
          <w:trHeight w:val="14459"/>
        </w:trPr>
        <w:tc>
          <w:tcPr>
            <w:tcW w:w="9970" w:type="dxa"/>
            <w:shd w:val="clear" w:color="auto" w:fill="auto"/>
            <w:vAlign w:val="center"/>
          </w:tcPr>
          <w:p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:rsidR="00AE295C" w:rsidRPr="001050FA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866775" cy="659784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68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9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:rsidR="00E60F25" w:rsidRDefault="00E60F25" w:rsidP="00E60F25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:rsidR="00E60F25" w:rsidRDefault="00E60F25" w:rsidP="00E60F25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:rsidR="00E60F25" w:rsidRDefault="00E60F25" w:rsidP="00E60F25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:rsidR="00E60F25" w:rsidRDefault="00E60F25" w:rsidP="00E60F25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</w:p>
          <w:p w:rsidR="00CB0298" w:rsidRDefault="0011730F" w:rsidP="00E60F25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proofErr w:type="spellStart"/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За</w:t>
            </w:r>
            <w:proofErr w:type="spellEnd"/>
            <w:r w:rsidR="004514EB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proofErr w:type="spellStart"/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период</w:t>
            </w:r>
            <w:proofErr w:type="spellEnd"/>
            <w:r w:rsidR="004514EB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proofErr w:type="spellStart"/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од</w:t>
            </w:r>
            <w:proofErr w:type="spellEnd"/>
          </w:p>
          <w:p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.г. </w:t>
            </w:r>
            <w:proofErr w:type="spellStart"/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до</w:t>
            </w:r>
            <w:proofErr w:type="spellEnd"/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4F2A31" w:rsidRDefault="0011730F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proofErr w:type="spellStart"/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proofErr w:type="spellEnd"/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:rsidR="00AA2466" w:rsidRPr="0011730F" w:rsidRDefault="004F2A31" w:rsidP="004F2A31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sz w:val="40"/>
                <w:szCs w:val="40"/>
              </w:rPr>
              <w:t>децембар</w:t>
            </w:r>
            <w:proofErr w:type="spellEnd"/>
            <w:proofErr w:type="gramEnd"/>
            <w:r>
              <w:rPr>
                <w:rFonts w:ascii="Cambria" w:hAnsi="Cambria"/>
                <w:b/>
                <w:sz w:val="40"/>
                <w:szCs w:val="40"/>
              </w:rPr>
              <w:t xml:space="preserve"> 2024 - </w:t>
            </w:r>
            <w:proofErr w:type="spellStart"/>
            <w:r>
              <w:rPr>
                <w:rFonts w:ascii="Cambria" w:hAnsi="Cambria"/>
                <w:b/>
                <w:sz w:val="40"/>
                <w:szCs w:val="40"/>
              </w:rPr>
              <w:t>април</w:t>
            </w:r>
            <w:proofErr w:type="spellEnd"/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 xml:space="preserve"> 20</w:t>
            </w:r>
            <w:r w:rsidR="00A16EC0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</w:t>
            </w:r>
            <w:r w:rsid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/>
      </w:tblPr>
      <w:tblGrid>
        <w:gridCol w:w="10140"/>
      </w:tblGrid>
      <w:tr w:rsidR="009B5B6F" w:rsidRPr="002C3565" w:rsidTr="00834D85">
        <w:trPr>
          <w:trHeight w:val="885"/>
          <w:jc w:val="center"/>
        </w:trPr>
        <w:tc>
          <w:tcPr>
            <w:tcW w:w="10140" w:type="dxa"/>
          </w:tcPr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FF6542" w:rsidRPr="00FF6542" w:rsidRDefault="00FF6542"/>
          <w:p w:rsidR="0029095C" w:rsidRDefault="0029095C"/>
          <w:p w:rsidR="0029095C" w:rsidRDefault="00D837D5">
            <w:r w:rsidRPr="00D837D5">
              <w:rPr>
                <w:noProof/>
                <w:color w:val="000000" w:themeColor="text1"/>
              </w:rPr>
              <w:pict>
                <v:roundrect id="AutoShape 7" o:spid="_x0000_s1027" style="position:absolute;margin-left:82.15pt;margin-top:1.5pt;width:328.4pt;height:126.55pt;z-index:25166028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:rsidR="00B20FFE" w:rsidRPr="004F2A31" w:rsidRDefault="000779C8" w:rsidP="004F2A31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B10461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1</w:t>
            </w:r>
            <w:r w:rsidR="00A93A85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1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:rsidR="00A93A85" w:rsidRDefault="00A93A85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КВАЛИТЕТ ПРОСТОРА </w:t>
            </w:r>
          </w:p>
          <w:p w:rsidR="0029095C" w:rsidRPr="00A93A85" w:rsidRDefault="00A93A85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ОПРЕМЕ</w:t>
            </w:r>
          </w:p>
          <w:p w:rsidR="0029095C" w:rsidRDefault="0029095C"/>
          <w:p w:rsidR="0029095C" w:rsidRDefault="0029095C"/>
          <w:p w:rsidR="0029095C" w:rsidRDefault="0029095C"/>
          <w:p w:rsidR="00FF6542" w:rsidRDefault="00FF6542" w:rsidP="00FF6542">
            <w:pPr>
              <w:spacing w:after="60"/>
            </w:pPr>
          </w:p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9B02D2" w:rsidRDefault="009B02D2"/>
          <w:p w:rsidR="0029095C" w:rsidRDefault="0029095C"/>
          <w:p w:rsidR="00353518" w:rsidRDefault="00353518"/>
          <w:p w:rsidR="00353518" w:rsidRPr="00633C01" w:rsidRDefault="00353518"/>
          <w:p w:rsidR="0029095C" w:rsidRDefault="0029095C"/>
          <w:p w:rsidR="00A93A85" w:rsidRDefault="00A93A85"/>
          <w:p w:rsidR="00A93A85" w:rsidRDefault="00A93A85"/>
          <w:p w:rsidR="00A93A85" w:rsidRDefault="00A93A85"/>
          <w:p w:rsidR="00A93A85" w:rsidRDefault="00A93A85"/>
          <w:p w:rsidR="00A93A85" w:rsidRDefault="00A93A85"/>
          <w:p w:rsidR="00A93A85" w:rsidRPr="00A93A85" w:rsidRDefault="00A93A85"/>
          <w:p w:rsidR="00834D85" w:rsidRPr="00FF6542" w:rsidRDefault="00834D85"/>
          <w:tbl>
            <w:tblPr>
              <w:tblW w:w="0" w:type="auto"/>
              <w:tblLook w:val="0000"/>
            </w:tblPr>
            <w:tblGrid>
              <w:gridCol w:w="9498"/>
            </w:tblGrid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834D85" w:rsidRPr="00F535D1" w:rsidRDefault="000779C8" w:rsidP="00A93A85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proofErr w:type="spellEnd"/>
                  <w:r w:rsidR="00B73FF9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10461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1</w:t>
                  </w:r>
                  <w:r w:rsidR="00A93A85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1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A93A85">
                    <w:rPr>
                      <w:rFonts w:ascii="Cambria" w:hAnsi="Cambria"/>
                      <w:b/>
                      <w:sz w:val="28"/>
                      <w:szCs w:val="28"/>
                      <w:lang w:val="ru-RU"/>
                    </w:rPr>
                    <w:t>Квалитет простора и опреме</w:t>
                  </w:r>
                </w:p>
              </w:tc>
            </w:tr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607DF2" w:rsidRPr="00C03CF2" w:rsidRDefault="00607DF2" w:rsidP="00607DF2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 xml:space="preserve">а) </w:t>
                  </w:r>
                  <w:proofErr w:type="spellStart"/>
                  <w:r w:rsidRPr="00C03CF2">
                    <w:rPr>
                      <w:rFonts w:ascii="Cambria" w:hAnsi="Cambria"/>
                      <w:b/>
                      <w:bCs/>
                    </w:rPr>
                    <w:t>Опис</w:t>
                  </w:r>
                  <w:proofErr w:type="spellEnd"/>
                  <w:r w:rsidRPr="00C03CF2">
                    <w:rPr>
                      <w:rFonts w:ascii="Cambria" w:hAnsi="Cambria"/>
                      <w:b/>
                      <w:bCs/>
                    </w:rPr>
                    <w:t xml:space="preserve">, </w:t>
                  </w:r>
                  <w:proofErr w:type="spellStart"/>
                  <w:r w:rsidRPr="00C03CF2">
                    <w:rPr>
                      <w:rFonts w:ascii="Cambria" w:hAnsi="Cambria"/>
                      <w:b/>
                      <w:bCs/>
                    </w:rPr>
                    <w:t>анализа</w:t>
                  </w:r>
                  <w:proofErr w:type="spellEnd"/>
                  <w:r w:rsidRPr="00C03CF2">
                    <w:rPr>
                      <w:rFonts w:ascii="Cambria" w:hAnsi="Cambria"/>
                      <w:b/>
                      <w:bCs/>
                    </w:rPr>
                    <w:t xml:space="preserve"> и </w:t>
                  </w:r>
                  <w:proofErr w:type="spellStart"/>
                  <w:r w:rsidRPr="00C03CF2">
                    <w:rPr>
                      <w:rFonts w:ascii="Cambria" w:hAnsi="Cambria"/>
                      <w:b/>
                      <w:bCs/>
                    </w:rPr>
                    <w:t>процена</w:t>
                  </w:r>
                  <w:proofErr w:type="spellEnd"/>
                  <w:r w:rsidR="00A4588D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  <w:bCs/>
                    </w:rPr>
                    <w:t>тренутне</w:t>
                  </w:r>
                  <w:proofErr w:type="spellEnd"/>
                  <w:r w:rsidR="00A4588D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  <w:bCs/>
                    </w:rPr>
                    <w:t>ситуације</w:t>
                  </w:r>
                  <w:proofErr w:type="spellEnd"/>
                </w:p>
                <w:p w:rsidR="008D6EA0" w:rsidRPr="008D6EA0" w:rsidRDefault="00135F74" w:rsidP="008D6EA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color w:val="002060"/>
                    </w:rPr>
                  </w:pPr>
                  <w:proofErr w:type="spellStart"/>
                  <w:r>
                    <w:rPr>
                      <w:rFonts w:ascii="Cambria" w:hAnsi="Cambria"/>
                    </w:rPr>
                    <w:t>Академија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техничко-васпитачких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струковних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студија</w:t>
                  </w:r>
                  <w:proofErr w:type="spellEnd"/>
                  <w:r w:rsidR="004F2A31" w:rsidRPr="001860F4">
                    <w:rPr>
                      <w:rFonts w:ascii="Cambria" w:hAnsi="Cambria"/>
                    </w:rPr>
                    <w:t xml:space="preserve"> (у </w:t>
                  </w:r>
                  <w:proofErr w:type="spellStart"/>
                  <w:r w:rsidR="004F2A31" w:rsidRPr="001860F4">
                    <w:rPr>
                      <w:rFonts w:ascii="Cambria" w:hAnsi="Cambria"/>
                    </w:rPr>
                    <w:t>даљем</w:t>
                  </w:r>
                  <w:proofErr w:type="spellEnd"/>
                  <w:r w:rsidR="004F2A31"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F2A31" w:rsidRPr="001860F4">
                    <w:rPr>
                      <w:rFonts w:ascii="Cambria" w:hAnsi="Cambria"/>
                    </w:rPr>
                    <w:t>тексту</w:t>
                  </w:r>
                  <w:proofErr w:type="spellEnd"/>
                  <w:r w:rsidR="004F2A31"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Академија</w:t>
                  </w:r>
                  <w:proofErr w:type="spellEnd"/>
                  <w:r w:rsidR="004F2A31" w:rsidRPr="001860F4">
                    <w:rPr>
                      <w:rFonts w:ascii="Cambria" w:hAnsi="Cambria"/>
                    </w:rPr>
                    <w:t xml:space="preserve">), </w:t>
                  </w:r>
                  <w:proofErr w:type="spellStart"/>
                  <w:r>
                    <w:rPr>
                      <w:rFonts w:ascii="Cambria" w:hAnsi="Cambria"/>
                    </w:rPr>
                    <w:t>састоји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из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три</w:t>
                  </w:r>
                  <w:proofErr w:type="spellEnd"/>
                  <w:r w:rsidR="0083143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</w:rPr>
                    <w:t>организационе</w:t>
                  </w:r>
                  <w:proofErr w:type="spellEnd"/>
                  <w:r w:rsidR="0083143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</w:rPr>
                    <w:t>јединице</w:t>
                  </w:r>
                  <w:proofErr w:type="spellEnd"/>
                  <w:r w:rsidR="0083143B">
                    <w:rPr>
                      <w:rFonts w:ascii="Cambria" w:hAnsi="Cambria"/>
                    </w:rPr>
                    <w:t xml:space="preserve"> - </w:t>
                  </w:r>
                  <w:proofErr w:type="spellStart"/>
                  <w:r>
                    <w:rPr>
                      <w:rFonts w:ascii="Cambria" w:hAnsi="Cambria"/>
                    </w:rPr>
                    <w:t>одсека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који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су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F2A31" w:rsidRPr="001860F4">
                    <w:rPr>
                      <w:rFonts w:ascii="Cambria" w:hAnsi="Cambria"/>
                    </w:rPr>
                    <w:t>смештен</w:t>
                  </w:r>
                  <w:r w:rsidR="008206CE">
                    <w:rPr>
                      <w:rFonts w:ascii="Cambria" w:hAnsi="Cambria"/>
                    </w:rPr>
                    <w:t>и</w:t>
                  </w:r>
                  <w:proofErr w:type="spellEnd"/>
                  <w:r w:rsidR="004F2A31" w:rsidRPr="001860F4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>
                    <w:rPr>
                      <w:rFonts w:ascii="Cambria" w:hAnsi="Cambria"/>
                    </w:rPr>
                    <w:t>Нишу</w:t>
                  </w:r>
                  <w:proofErr w:type="spellEnd"/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</w:rPr>
                    <w:t>Врању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</w:rPr>
                    <w:t>Пироту</w:t>
                  </w:r>
                  <w:proofErr w:type="spellEnd"/>
                  <w:r>
                    <w:rPr>
                      <w:rFonts w:ascii="Cambria" w:hAnsi="Cambria"/>
                    </w:rPr>
                    <w:t xml:space="preserve">. У </w:t>
                  </w:r>
                  <w:proofErr w:type="spellStart"/>
                  <w:r>
                    <w:rPr>
                      <w:rFonts w:ascii="Cambria" w:hAnsi="Cambria"/>
                    </w:rPr>
                    <w:t>сваком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од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својих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одсека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</w:rPr>
                    <w:t>Академија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располаже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довољним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</w:rPr>
                    <w:t>квалитетним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просторним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капацитетима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да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би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све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активности</w:t>
                  </w:r>
                  <w:proofErr w:type="spellEnd"/>
                  <w:r w:rsidR="0083143B">
                    <w:rPr>
                      <w:rFonts w:ascii="Cambria" w:hAnsi="Cambria"/>
                    </w:rPr>
                    <w:t>,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које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захтевају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акредитовани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студијски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програми</w:t>
                  </w:r>
                  <w:proofErr w:type="spellEnd"/>
                  <w:r w:rsidR="0083143B">
                    <w:rPr>
                      <w:rFonts w:ascii="Cambria" w:hAnsi="Cambria"/>
                    </w:rPr>
                    <w:t>,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могле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квалитетно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обављати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>
                    <w:rPr>
                      <w:rFonts w:ascii="Cambria" w:hAnsi="Cambria"/>
                    </w:rPr>
                    <w:t>Ту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спадају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амфитеатри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</w:rPr>
                    <w:t>учионице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</w:rPr>
                    <w:t>библиотеке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</w:rPr>
                    <w:t>читаонице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</w:rPr>
                    <w:t>лабораторије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</w:rPr>
                    <w:t>рачунарски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кабинети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</w:rPr>
                    <w:t>др</w:t>
                  </w:r>
                  <w:proofErr w:type="spellEnd"/>
                  <w:r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Академија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обезбе</w:t>
                  </w:r>
                  <w:r w:rsidR="0083143B">
                    <w:rPr>
                      <w:rFonts w:ascii="Cambria" w:hAnsi="Cambria"/>
                    </w:rPr>
                    <w:t>-</w:t>
                  </w:r>
                  <w:r w:rsidR="008D6EA0" w:rsidRPr="008D6EA0">
                    <w:rPr>
                      <w:rFonts w:ascii="Cambria" w:hAnsi="Cambria"/>
                    </w:rPr>
                    <w:t>ђује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одговарајући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број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места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амфитеатру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слушаоницама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лабораторијама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за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сваког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студента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током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извођења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наставе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библиотечки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простор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читаоницу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, у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складу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са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потребама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Настава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се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изводи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две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смене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Академија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такође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обезбеђује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простор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за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административне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послове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, и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то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одговарајуће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канцеларије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за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потребе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стручних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служби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Целокупан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простор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има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употребну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дозволу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за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обављање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наставно-научне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делатности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и у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складу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са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тим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задовољава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урбанистичке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архитектонско-техничке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хигијенске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D6EA0" w:rsidRPr="008D6EA0">
                    <w:rPr>
                      <w:rFonts w:ascii="Cambria" w:hAnsi="Cambria"/>
                    </w:rPr>
                    <w:t>услове</w:t>
                  </w:r>
                  <w:proofErr w:type="spellEnd"/>
                  <w:r w:rsidR="008D6EA0" w:rsidRPr="008D6EA0">
                    <w:rPr>
                      <w:rFonts w:ascii="Cambria" w:hAnsi="Cambria"/>
                    </w:rPr>
                    <w:t>.</w:t>
                  </w:r>
                  <w:r w:rsidR="008D6EA0">
                    <w:rPr>
                      <w:rFonts w:ascii="Cambria" w:hAnsi="Cambria"/>
                    </w:rPr>
                    <w:t xml:space="preserve"> </w:t>
                  </w:r>
                </w:p>
                <w:p w:rsidR="00135F74" w:rsidRPr="008D6EA0" w:rsidRDefault="00B553BF" w:rsidP="0083143B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002060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Cambria" w:hAnsi="Cambria"/>
                    </w:rPr>
                    <w:t>Академија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континуирано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прати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своје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просторне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капацитете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према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броју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студената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</w:rPr>
                    <w:t>односно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усклађује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их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према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стандардима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за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акредитацију</w:t>
                  </w:r>
                  <w:proofErr w:type="spellEnd"/>
                  <w:r w:rsidR="00B02C16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Управо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као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резултат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таквих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анализа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дошло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се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до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закључка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да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је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Одсек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Ниш</w:t>
                  </w:r>
                  <w:proofErr w:type="spellEnd"/>
                  <w:r w:rsidR="008206CE">
                    <w:rPr>
                      <w:rFonts w:ascii="Cambria" w:hAnsi="Cambria"/>
                    </w:rPr>
                    <w:t>,</w:t>
                  </w:r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због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већег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броја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студијских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програма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како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на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основним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тако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на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мастер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студијама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тренутно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на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граници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ста</w:t>
                  </w:r>
                  <w:r w:rsidR="0083143B">
                    <w:rPr>
                      <w:rFonts w:ascii="Cambria" w:hAnsi="Cambria"/>
                    </w:rPr>
                    <w:t>-</w:t>
                  </w:r>
                  <w:r w:rsidR="004B4BDA">
                    <w:rPr>
                      <w:rFonts w:ascii="Cambria" w:hAnsi="Cambria"/>
                    </w:rPr>
                    <w:t>ндарда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који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се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односи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на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расположиву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квадратуру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(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ово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се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односи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на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теоријски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односно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максимални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број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студената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на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свакој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од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година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студија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што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реално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није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случај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јер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нису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сви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студијски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програми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максимално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попуњени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на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свим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годинама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B4BDA">
                    <w:rPr>
                      <w:rFonts w:ascii="Cambria" w:hAnsi="Cambria"/>
                    </w:rPr>
                    <w:t>студија</w:t>
                  </w:r>
                  <w:proofErr w:type="spellEnd"/>
                  <w:r w:rsidR="004B4BDA">
                    <w:rPr>
                      <w:rFonts w:ascii="Cambria" w:hAnsi="Cambria"/>
                    </w:rPr>
                    <w:t xml:space="preserve">).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Конкретни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бројчани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подаци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о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расположивом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простору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квадратури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локацијама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за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сваки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од</w:t>
                  </w:r>
                  <w:r w:rsidR="0083143B">
                    <w:rPr>
                      <w:rFonts w:ascii="Cambria" w:hAnsi="Cambria"/>
                    </w:rPr>
                    <w:t>сек</w:t>
                  </w:r>
                  <w:proofErr w:type="spellEnd"/>
                  <w:r w:rsidR="0083143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</w:rPr>
                    <w:t>Академије</w:t>
                  </w:r>
                  <w:proofErr w:type="spellEnd"/>
                  <w:r w:rsidR="0083143B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83143B">
                    <w:rPr>
                      <w:rFonts w:ascii="Cambria" w:hAnsi="Cambria"/>
                    </w:rPr>
                    <w:t>налазе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се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="008206CE">
                    <w:rPr>
                      <w:rFonts w:ascii="Cambria" w:hAnsi="Cambria"/>
                    </w:rPr>
                    <w:t>Табели</w:t>
                  </w:r>
                  <w:proofErr w:type="spellEnd"/>
                  <w:r w:rsidR="008206CE">
                    <w:rPr>
                      <w:rFonts w:ascii="Cambria" w:hAnsi="Cambria"/>
                    </w:rPr>
                    <w:t xml:space="preserve"> 11.1.</w:t>
                  </w:r>
                </w:p>
                <w:p w:rsidR="0083143B" w:rsidRDefault="00135F74" w:rsidP="0083143B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У </w:t>
                  </w:r>
                  <w:proofErr w:type="spellStart"/>
                  <w:r>
                    <w:rPr>
                      <w:rFonts w:ascii="Cambria" w:hAnsi="Cambria"/>
                    </w:rPr>
                    <w:t>рачунарским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учионицама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</w:rPr>
                    <w:t>лабораторијама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налази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савремена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опрема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која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обезбеђује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квалитетно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извођење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наставе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. </w:t>
                  </w:r>
                  <w:r w:rsidR="00210348" w:rsidRPr="001860F4">
                    <w:rPr>
                      <w:rFonts w:ascii="Cambria" w:hAnsi="Cambria"/>
                      <w:color w:val="000000"/>
                    </w:rPr>
                    <w:t xml:space="preserve">У </w:t>
                  </w:r>
                  <w:proofErr w:type="spellStart"/>
                  <w:r w:rsidR="00210348" w:rsidRPr="001860F4">
                    <w:rPr>
                      <w:rFonts w:ascii="Cambria" w:hAnsi="Cambria"/>
                      <w:color w:val="000000"/>
                    </w:rPr>
                    <w:t>наставном</w:t>
                  </w:r>
                  <w:proofErr w:type="spellEnd"/>
                  <w:r w:rsidR="00210348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210348" w:rsidRPr="001860F4">
                    <w:rPr>
                      <w:rFonts w:ascii="Cambria" w:hAnsi="Cambria"/>
                      <w:color w:val="000000"/>
                    </w:rPr>
                    <w:t>процесу</w:t>
                  </w:r>
                  <w:proofErr w:type="spellEnd"/>
                  <w:r w:rsidR="00210348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210348" w:rsidRPr="001860F4">
                    <w:rPr>
                      <w:rFonts w:ascii="Cambria" w:hAnsi="Cambria"/>
                      <w:color w:val="000000"/>
                    </w:rPr>
                    <w:t>се</w:t>
                  </w:r>
                  <w:proofErr w:type="spellEnd"/>
                  <w:r w:rsidR="00210348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210348" w:rsidRPr="001860F4">
                    <w:rPr>
                      <w:rFonts w:ascii="Cambria" w:hAnsi="Cambria"/>
                      <w:color w:val="000000"/>
                    </w:rPr>
                    <w:t>користе</w:t>
                  </w:r>
                  <w:proofErr w:type="spellEnd"/>
                  <w:r w:rsidR="00210348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210348" w:rsidRPr="001860F4">
                    <w:rPr>
                      <w:rFonts w:ascii="Cambria" w:hAnsi="Cambria"/>
                      <w:color w:val="000000"/>
                    </w:rPr>
                    <w:t>софтве</w:t>
                  </w:r>
                  <w:r w:rsidR="00210348">
                    <w:rPr>
                      <w:rFonts w:ascii="Cambria" w:hAnsi="Cambria"/>
                      <w:color w:val="000000"/>
                    </w:rPr>
                    <w:t>-</w:t>
                  </w:r>
                  <w:r w:rsidR="00210348" w:rsidRPr="001860F4">
                    <w:rPr>
                      <w:rFonts w:ascii="Cambria" w:hAnsi="Cambria"/>
                      <w:color w:val="000000"/>
                    </w:rPr>
                    <w:t>рски</w:t>
                  </w:r>
                  <w:proofErr w:type="spellEnd"/>
                  <w:r w:rsidR="00210348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210348" w:rsidRPr="001860F4">
                    <w:rPr>
                      <w:rFonts w:ascii="Cambria" w:hAnsi="Cambria"/>
                      <w:color w:val="000000"/>
                    </w:rPr>
                    <w:t>п</w:t>
                  </w:r>
                  <w:r w:rsidR="00210348">
                    <w:rPr>
                      <w:rFonts w:ascii="Cambria" w:hAnsi="Cambria"/>
                      <w:color w:val="000000"/>
                    </w:rPr>
                    <w:t>акети</w:t>
                  </w:r>
                  <w:proofErr w:type="spellEnd"/>
                  <w:r w:rsidR="00210348">
                    <w:rPr>
                      <w:rFonts w:ascii="Cambria" w:hAnsi="Cambria"/>
                      <w:color w:val="000000"/>
                    </w:rPr>
                    <w:t xml:space="preserve"> и </w:t>
                  </w:r>
                  <w:proofErr w:type="spellStart"/>
                  <w:r w:rsidR="00210348">
                    <w:rPr>
                      <w:rFonts w:ascii="Cambria" w:hAnsi="Cambria"/>
                      <w:color w:val="000000"/>
                    </w:rPr>
                    <w:t>рачунарска</w:t>
                  </w:r>
                  <w:proofErr w:type="spellEnd"/>
                  <w:r w:rsidR="00210348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210348">
                    <w:rPr>
                      <w:rFonts w:ascii="Cambria" w:hAnsi="Cambria"/>
                      <w:color w:val="000000"/>
                    </w:rPr>
                    <w:t>опрема</w:t>
                  </w:r>
                  <w:proofErr w:type="spellEnd"/>
                  <w:r w:rsidR="00210348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210348">
                    <w:rPr>
                      <w:rFonts w:ascii="Cambria" w:hAnsi="Cambria"/>
                      <w:color w:val="000000"/>
                    </w:rPr>
                    <w:t>последње</w:t>
                  </w:r>
                  <w:proofErr w:type="spellEnd"/>
                  <w:r w:rsidR="00210348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210348">
                    <w:rPr>
                      <w:rFonts w:ascii="Cambria" w:hAnsi="Cambria"/>
                      <w:color w:val="000000"/>
                    </w:rPr>
                    <w:t>гене</w:t>
                  </w:r>
                  <w:r w:rsidR="00210348" w:rsidRPr="001860F4">
                    <w:rPr>
                      <w:rFonts w:ascii="Cambria" w:hAnsi="Cambria"/>
                      <w:color w:val="000000"/>
                    </w:rPr>
                    <w:t>рације</w:t>
                  </w:r>
                  <w:proofErr w:type="spellEnd"/>
                  <w:r w:rsidR="00210348" w:rsidRPr="001860F4">
                    <w:rPr>
                      <w:rFonts w:ascii="Cambria" w:hAnsi="Cambria"/>
                      <w:color w:val="000000"/>
                    </w:rPr>
                    <w:t xml:space="preserve">.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Рачунарске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>
                    <w:rPr>
                      <w:rFonts w:ascii="Cambria" w:hAnsi="Cambria"/>
                      <w:color w:val="000000"/>
                    </w:rPr>
                    <w:t>учиониц</w:t>
                  </w:r>
                  <w:r w:rsidR="008D6EA0" w:rsidRPr="001860F4">
                    <w:rPr>
                      <w:rFonts w:ascii="Cambria" w:hAnsi="Cambria"/>
                      <w:color w:val="000000"/>
                    </w:rPr>
                    <w:t>е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су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конципиране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тако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да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предавач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увек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има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преглед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над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радом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свих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полазника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и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сва</w:t>
                  </w:r>
                  <w:r w:rsidR="00210348">
                    <w:rPr>
                      <w:rFonts w:ascii="Cambria" w:hAnsi="Cambria"/>
                      <w:color w:val="000000"/>
                    </w:rPr>
                    <w:t>-</w:t>
                  </w:r>
                  <w:r w:rsidR="008D6EA0" w:rsidRPr="001860F4">
                    <w:rPr>
                      <w:rFonts w:ascii="Cambria" w:hAnsi="Cambria"/>
                      <w:color w:val="000000"/>
                    </w:rPr>
                    <w:t>коме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може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да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посвети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максималну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пажњу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приликом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обраде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нове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материје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или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помогне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у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изради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D6EA0" w:rsidRPr="001860F4">
                    <w:rPr>
                      <w:rFonts w:ascii="Cambria" w:hAnsi="Cambria"/>
                      <w:color w:val="000000"/>
                    </w:rPr>
                    <w:t>задатка</w:t>
                  </w:r>
                  <w:proofErr w:type="spellEnd"/>
                  <w:r w:rsidR="008D6EA0" w:rsidRPr="001860F4">
                    <w:rPr>
                      <w:rFonts w:ascii="Cambria" w:hAnsi="Cambria"/>
                      <w:color w:val="000000"/>
                    </w:rPr>
                    <w:t xml:space="preserve">.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Сваки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студијски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програм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има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најмање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једну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лабораторију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која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је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намењена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настави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, а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неке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од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њих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се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могу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користити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и у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комерцијалне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сврхе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.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Неке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од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потенцијално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комерцијално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исплативих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лабораторија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за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сада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нису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акреди</w:t>
                  </w:r>
                  <w:r w:rsidR="00210348">
                    <w:rPr>
                      <w:rFonts w:ascii="Cambria" w:hAnsi="Cambria"/>
                      <w:color w:val="000000"/>
                    </w:rPr>
                    <w:t>-</w:t>
                  </w:r>
                  <w:r w:rsidR="0083143B">
                    <w:rPr>
                      <w:rFonts w:ascii="Cambria" w:hAnsi="Cambria"/>
                      <w:color w:val="000000"/>
                    </w:rPr>
                    <w:t>товане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и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поступак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акредитације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таквих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лабораторија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биће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један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од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првих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задатака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у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наредном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периоду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(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то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се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пре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свега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односи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на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Лабораторију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за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заштиту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животне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средине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,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која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својом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83143B">
                    <w:rPr>
                      <w:rFonts w:ascii="Cambria" w:hAnsi="Cambria"/>
                      <w:color w:val="000000"/>
                    </w:rPr>
                    <w:t>опремљеношћу</w:t>
                  </w:r>
                  <w:proofErr w:type="spellEnd"/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210348">
                    <w:rPr>
                      <w:rFonts w:ascii="Cambria" w:hAnsi="Cambria"/>
                      <w:color w:val="000000"/>
                    </w:rPr>
                    <w:t>надмашује</w:t>
                  </w:r>
                  <w:proofErr w:type="spellEnd"/>
                  <w:r w:rsidR="00210348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210348">
                    <w:rPr>
                      <w:rFonts w:ascii="Cambria" w:hAnsi="Cambria"/>
                      <w:color w:val="000000"/>
                    </w:rPr>
                    <w:t>многе</w:t>
                  </w:r>
                  <w:proofErr w:type="spellEnd"/>
                  <w:r w:rsidR="00210348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210348">
                    <w:rPr>
                      <w:rFonts w:ascii="Cambria" w:hAnsi="Cambria"/>
                      <w:color w:val="000000"/>
                    </w:rPr>
                    <w:t>акредитоване</w:t>
                  </w:r>
                  <w:proofErr w:type="spellEnd"/>
                  <w:r w:rsidR="00210348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210348">
                    <w:rPr>
                      <w:rFonts w:ascii="Cambria" w:hAnsi="Cambria"/>
                      <w:color w:val="000000"/>
                    </w:rPr>
                    <w:t>лабораторије</w:t>
                  </w:r>
                  <w:proofErr w:type="spellEnd"/>
                  <w:r w:rsidR="00210348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210348">
                    <w:rPr>
                      <w:rFonts w:ascii="Cambria" w:hAnsi="Cambria"/>
                      <w:color w:val="000000"/>
                    </w:rPr>
                    <w:t>овог</w:t>
                  </w:r>
                  <w:proofErr w:type="spellEnd"/>
                  <w:r w:rsidR="00210348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210348">
                    <w:rPr>
                      <w:rFonts w:ascii="Cambria" w:hAnsi="Cambria"/>
                      <w:color w:val="000000"/>
                    </w:rPr>
                    <w:t>типа</w:t>
                  </w:r>
                  <w:proofErr w:type="spellEnd"/>
                  <w:r w:rsidR="00210348">
                    <w:rPr>
                      <w:rFonts w:ascii="Cambria" w:hAnsi="Cambria"/>
                      <w:color w:val="000000"/>
                    </w:rPr>
                    <w:t xml:space="preserve">). </w:t>
                  </w:r>
                  <w:r w:rsidR="0083143B">
                    <w:rPr>
                      <w:rFonts w:ascii="Cambria" w:hAnsi="Cambria"/>
                      <w:color w:val="000000"/>
                    </w:rPr>
                    <w:t xml:space="preserve"> </w:t>
                  </w:r>
                </w:p>
                <w:p w:rsidR="00210348" w:rsidRPr="001860F4" w:rsidRDefault="008206CE" w:rsidP="0021034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color w:val="000000"/>
                    </w:rPr>
                  </w:pPr>
                  <w:proofErr w:type="spellStart"/>
                  <w:r>
                    <w:rPr>
                      <w:rFonts w:ascii="Cambria" w:hAnsi="Cambria"/>
                    </w:rPr>
                    <w:t>Опрема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набавља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коришћењем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сопствених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финансијских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средстава</w:t>
                  </w:r>
                  <w:proofErr w:type="spellEnd"/>
                  <w:r w:rsidR="00210348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210348">
                    <w:rPr>
                      <w:rFonts w:ascii="Cambria" w:hAnsi="Cambria"/>
                    </w:rPr>
                    <w:t>из</w:t>
                  </w:r>
                  <w:proofErr w:type="spellEnd"/>
                  <w:r w:rsidR="00210348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210348">
                    <w:rPr>
                      <w:rFonts w:ascii="Cambria" w:hAnsi="Cambria"/>
                    </w:rPr>
                    <w:t>донација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</w:rPr>
                    <w:t>захваљујући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средствима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из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пројеката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>
                    <w:rPr>
                      <w:rFonts w:ascii="Cambria" w:hAnsi="Cambria"/>
                    </w:rPr>
                    <w:t>Опрема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састоји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из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дела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општег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типа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(</w:t>
                  </w:r>
                  <w:proofErr w:type="spellStart"/>
                  <w:r>
                    <w:rPr>
                      <w:rFonts w:ascii="Cambria" w:hAnsi="Cambria"/>
                    </w:rPr>
                    <w:t>рачу</w:t>
                  </w:r>
                  <w:r w:rsidR="00210348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нари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</w:rPr>
                    <w:t>пројектори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</w:rPr>
                    <w:t>сл</w:t>
                  </w:r>
                  <w:proofErr w:type="spellEnd"/>
                  <w:r w:rsidR="008D6EA0">
                    <w:rPr>
                      <w:rFonts w:ascii="Cambria" w:hAnsi="Cambria"/>
                    </w:rPr>
                    <w:t>.</w:t>
                  </w:r>
                  <w:r>
                    <w:rPr>
                      <w:rFonts w:ascii="Cambria" w:hAnsi="Cambria"/>
                    </w:rPr>
                    <w:t xml:space="preserve">) и </w:t>
                  </w:r>
                  <w:proofErr w:type="spellStart"/>
                  <w:r>
                    <w:rPr>
                      <w:rFonts w:ascii="Cambria" w:hAnsi="Cambria"/>
                    </w:rPr>
                    <w:t>специфичне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опреме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за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сваки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студијски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програм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поје</w:t>
                  </w:r>
                  <w:r w:rsidR="00210348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диначно</w:t>
                  </w:r>
                  <w:proofErr w:type="spellEnd"/>
                  <w:r>
                    <w:rPr>
                      <w:rFonts w:ascii="Cambria" w:hAnsi="Cambria"/>
                    </w:rPr>
                    <w:t xml:space="preserve">. </w:t>
                  </w:r>
                </w:p>
                <w:p w:rsidR="0083143B" w:rsidRDefault="008D6EA0" w:rsidP="008D6EA0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8D6EA0">
                    <w:rPr>
                      <w:rFonts w:ascii="Cambria" w:hAnsi="Cambria"/>
                    </w:rPr>
                    <w:t>Целокупна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опрема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је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безбедна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за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рад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извођење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наставе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складу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здравственим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сигурносним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стандардима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, о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чему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су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студенти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посебно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обавештени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преко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упутства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за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коришћење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Поступак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одржавања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опреме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је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дефинисан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одговарајућим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доку</w:t>
                  </w:r>
                  <w:r w:rsidR="00210348">
                    <w:rPr>
                      <w:rFonts w:ascii="Cambria" w:hAnsi="Cambria"/>
                    </w:rPr>
                    <w:t>-</w:t>
                  </w:r>
                  <w:r w:rsidRPr="008D6EA0">
                    <w:rPr>
                      <w:rFonts w:ascii="Cambria" w:hAnsi="Cambria"/>
                    </w:rPr>
                    <w:t>ментима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>.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  <w:color w:val="000000"/>
                    </w:rPr>
                    <w:t>Техничка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  <w:color w:val="000000"/>
                    </w:rPr>
                    <w:t>опремљеност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color w:val="000000"/>
                    </w:rPr>
                    <w:t>Акаде</w:t>
                  </w:r>
                  <w:r w:rsidR="00622D18">
                    <w:rPr>
                      <w:rFonts w:ascii="Cambria" w:hAnsi="Cambria"/>
                      <w:color w:val="000000"/>
                    </w:rPr>
                    <w:t>мије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 у </w:t>
                  </w:r>
                  <w:proofErr w:type="spellStart"/>
                  <w:r w:rsidRPr="001860F4">
                    <w:rPr>
                      <w:rFonts w:ascii="Cambria" w:hAnsi="Cambria"/>
                      <w:color w:val="000000"/>
                    </w:rPr>
                    <w:t>сваком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  <w:color w:val="000000"/>
                    </w:rPr>
                    <w:t>погледу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  <w:color w:val="000000"/>
                    </w:rPr>
                    <w:t>је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  <w:color w:val="000000"/>
                    </w:rPr>
                    <w:t>предмет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  <w:color w:val="000000"/>
                    </w:rPr>
                    <w:t>перио</w:t>
                  </w:r>
                  <w:r w:rsidR="00210348">
                    <w:rPr>
                      <w:rFonts w:ascii="Cambria" w:hAnsi="Cambria"/>
                      <w:color w:val="000000"/>
                    </w:rPr>
                    <w:t>-</w:t>
                  </w:r>
                  <w:r w:rsidRPr="001860F4">
                    <w:rPr>
                      <w:rFonts w:ascii="Cambria" w:hAnsi="Cambria"/>
                      <w:color w:val="000000"/>
                    </w:rPr>
                    <w:t>дичних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  <w:color w:val="000000"/>
                    </w:rPr>
                    <w:t>анализа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  <w:color w:val="000000"/>
                    </w:rPr>
                    <w:t>на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  <w:color w:val="000000"/>
                    </w:rPr>
                    <w:t>већима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622D18">
                    <w:rPr>
                      <w:rFonts w:ascii="Cambria" w:hAnsi="Cambria"/>
                      <w:color w:val="000000"/>
                    </w:rPr>
                    <w:t>катедре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, </w:t>
                  </w:r>
                  <w:proofErr w:type="spellStart"/>
                  <w:r w:rsidRPr="001860F4">
                    <w:rPr>
                      <w:rFonts w:ascii="Cambria" w:hAnsi="Cambria"/>
                      <w:color w:val="000000"/>
                    </w:rPr>
                    <w:t>где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  <w:color w:val="000000"/>
                    </w:rPr>
                    <w:t>се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  <w:color w:val="000000"/>
                    </w:rPr>
                    <w:t>периодично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  <w:color w:val="000000"/>
                    </w:rPr>
                    <w:t>анализирају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  <w:color w:val="000000"/>
                    </w:rPr>
                    <w:t>потребе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 и </w:t>
                  </w:r>
                  <w:proofErr w:type="spellStart"/>
                  <w:r w:rsidRPr="001860F4">
                    <w:rPr>
                      <w:rFonts w:ascii="Cambria" w:hAnsi="Cambria"/>
                      <w:color w:val="000000"/>
                    </w:rPr>
                    <w:t>прослеђују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  <w:color w:val="000000"/>
                    </w:rPr>
                    <w:t>се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  <w:color w:val="000000"/>
                    </w:rPr>
                    <w:t>Колегијуму</w:t>
                  </w:r>
                  <w:proofErr w:type="spellEnd"/>
                  <w:r w:rsidR="00622D18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622D18">
                    <w:rPr>
                      <w:rFonts w:ascii="Cambria" w:hAnsi="Cambria"/>
                      <w:color w:val="000000"/>
                    </w:rPr>
                    <w:t>одсека</w:t>
                  </w:r>
                  <w:proofErr w:type="spellEnd"/>
                  <w:r w:rsidRPr="001860F4">
                    <w:rPr>
                      <w:rFonts w:ascii="Cambria" w:hAnsi="Cambria"/>
                      <w:color w:val="000000"/>
                    </w:rPr>
                    <w:t>.</w:t>
                  </w:r>
                </w:p>
                <w:p w:rsidR="008D6EA0" w:rsidRPr="0083143B" w:rsidRDefault="008206CE" w:rsidP="008D6EA0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Theme="majorHAnsi" w:hAnsiTheme="majorHAnsi"/>
                    </w:rPr>
                    <w:t>Списак</w:t>
                  </w:r>
                  <w:proofErr w:type="spellEnd"/>
                  <w:r w:rsidRPr="008206CE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8206CE">
                    <w:rPr>
                      <w:rFonts w:asciiTheme="majorHAnsi" w:hAnsiTheme="majorHAnsi"/>
                    </w:rPr>
                    <w:t>опреме</w:t>
                  </w:r>
                  <w:proofErr w:type="spellEnd"/>
                  <w:r w:rsidRPr="008206CE">
                    <w:rPr>
                      <w:rFonts w:asciiTheme="majorHAnsi" w:hAnsiTheme="majorHAnsi"/>
                    </w:rPr>
                    <w:t xml:space="preserve"> у </w:t>
                  </w:r>
                  <w:proofErr w:type="spellStart"/>
                  <w:r w:rsidRPr="008206CE">
                    <w:rPr>
                      <w:rFonts w:asciiTheme="majorHAnsi" w:hAnsiTheme="majorHAnsi"/>
                    </w:rPr>
                    <w:t>власништву</w:t>
                  </w:r>
                  <w:proofErr w:type="spellEnd"/>
                  <w:r w:rsidRPr="008206CE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Академије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8206CE">
                    <w:rPr>
                      <w:rFonts w:asciiTheme="majorHAnsi" w:hAnsiTheme="majorHAnsi"/>
                    </w:rPr>
                    <w:t>која</w:t>
                  </w:r>
                  <w:proofErr w:type="spellEnd"/>
                  <w:r w:rsidRPr="008206CE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8206CE">
                    <w:rPr>
                      <w:rFonts w:asciiTheme="majorHAnsi" w:hAnsiTheme="majorHAnsi"/>
                    </w:rPr>
                    <w:t>се</w:t>
                  </w:r>
                  <w:proofErr w:type="spellEnd"/>
                  <w:r w:rsidRPr="008206CE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8206CE">
                    <w:rPr>
                      <w:rFonts w:asciiTheme="majorHAnsi" w:hAnsiTheme="majorHAnsi"/>
                    </w:rPr>
                    <w:t>користи</w:t>
                  </w:r>
                  <w:proofErr w:type="spellEnd"/>
                  <w:r w:rsidRPr="008206CE">
                    <w:rPr>
                      <w:rFonts w:asciiTheme="majorHAnsi" w:hAnsiTheme="majorHAnsi"/>
                    </w:rPr>
                    <w:t xml:space="preserve"> у </w:t>
                  </w:r>
                  <w:proofErr w:type="spellStart"/>
                  <w:r w:rsidRPr="008206CE">
                    <w:rPr>
                      <w:rFonts w:asciiTheme="majorHAnsi" w:hAnsiTheme="majorHAnsi"/>
                    </w:rPr>
                    <w:t>наставном</w:t>
                  </w:r>
                  <w:proofErr w:type="spellEnd"/>
                  <w:r w:rsidRPr="008206CE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8206CE">
                    <w:rPr>
                      <w:rFonts w:asciiTheme="majorHAnsi" w:hAnsiTheme="majorHAnsi"/>
                    </w:rPr>
                    <w:t>процесу</w:t>
                  </w:r>
                  <w:proofErr w:type="spellEnd"/>
                  <w:r w:rsidRPr="008206CE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Pr="008206CE">
                    <w:rPr>
                      <w:rFonts w:asciiTheme="majorHAnsi" w:hAnsiTheme="majorHAnsi"/>
                    </w:rPr>
                    <w:t>нау</w:t>
                  </w:r>
                  <w:r w:rsidR="0083143B">
                    <w:rPr>
                      <w:rFonts w:asciiTheme="majorHAnsi" w:hAnsiTheme="majorHAnsi"/>
                    </w:rPr>
                    <w:t>-</w:t>
                  </w:r>
                  <w:r w:rsidRPr="008206CE">
                    <w:rPr>
                      <w:rFonts w:asciiTheme="majorHAnsi" w:hAnsiTheme="majorHAnsi"/>
                    </w:rPr>
                    <w:lastRenderedPageBreak/>
                    <w:t>чно</w:t>
                  </w:r>
                  <w:r w:rsidR="0083143B">
                    <w:rPr>
                      <w:rFonts w:asciiTheme="majorHAnsi" w:hAnsiTheme="majorHAnsi"/>
                    </w:rPr>
                    <w:t>-</w:t>
                  </w:r>
                  <w:r w:rsidRPr="008206CE">
                    <w:rPr>
                      <w:rFonts w:asciiTheme="majorHAnsi" w:hAnsiTheme="majorHAnsi"/>
                    </w:rPr>
                    <w:t>истраживачком</w:t>
                  </w:r>
                  <w:proofErr w:type="spellEnd"/>
                  <w:r w:rsidRPr="008206CE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8206CE">
                    <w:rPr>
                      <w:rFonts w:asciiTheme="majorHAnsi" w:hAnsiTheme="majorHAnsi"/>
                    </w:rPr>
                    <w:t>раду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</w:rPr>
                    <w:t>нала</w:t>
                  </w:r>
                  <w:r w:rsidR="008D6EA0">
                    <w:rPr>
                      <w:rFonts w:asciiTheme="majorHAnsi" w:hAnsiTheme="majorHAnsi"/>
                    </w:rPr>
                    <w:t>зи</w:t>
                  </w:r>
                  <w:proofErr w:type="spellEnd"/>
                  <w:r w:rsidR="008D6EA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8D6EA0">
                    <w:rPr>
                      <w:rFonts w:asciiTheme="majorHAnsi" w:hAnsiTheme="majorHAnsi"/>
                    </w:rPr>
                    <w:t>се</w:t>
                  </w:r>
                  <w:proofErr w:type="spellEnd"/>
                  <w:r w:rsidR="008D6EA0">
                    <w:rPr>
                      <w:rFonts w:asciiTheme="majorHAnsi" w:hAnsiTheme="majorHAnsi"/>
                    </w:rPr>
                    <w:t xml:space="preserve"> у </w:t>
                  </w:r>
                  <w:proofErr w:type="spellStart"/>
                  <w:r w:rsidR="008D6EA0">
                    <w:rPr>
                      <w:rFonts w:asciiTheme="majorHAnsi" w:hAnsiTheme="majorHAnsi"/>
                    </w:rPr>
                    <w:t>Табели</w:t>
                  </w:r>
                  <w:proofErr w:type="spellEnd"/>
                  <w:r w:rsidR="008D6EA0">
                    <w:rPr>
                      <w:rFonts w:asciiTheme="majorHAnsi" w:hAnsiTheme="majorHAnsi"/>
                    </w:rPr>
                    <w:t xml:space="preserve"> 11.2.</w:t>
                  </w:r>
                </w:p>
                <w:p w:rsidR="008D6EA0" w:rsidRDefault="008D6EA0" w:rsidP="008D6EA0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8D6EA0">
                    <w:rPr>
                      <w:rFonts w:ascii="Cambria" w:hAnsi="Cambria"/>
                    </w:rPr>
                    <w:t>Академија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је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својим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запосленим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студентима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омогућила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несметан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приступ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инфо-рмацијама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електронском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облику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како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би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те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информације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користиле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научно-образовне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сврхе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Сви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запослени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имају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обезбеђен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рачунар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несметани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приступ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информацијама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неопходним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за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њихову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максималну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информисаност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чиме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су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вели</w:t>
                  </w:r>
                  <w:r>
                    <w:rPr>
                      <w:rFonts w:ascii="Cambria" w:hAnsi="Cambria"/>
                    </w:rPr>
                    <w:t>-</w:t>
                  </w:r>
                  <w:r w:rsidRPr="008D6EA0">
                    <w:rPr>
                      <w:rFonts w:ascii="Cambria" w:hAnsi="Cambria"/>
                    </w:rPr>
                    <w:t>кој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мери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обезбеђени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услови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за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примену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тих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информација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оквиру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научно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истра</w:t>
                  </w:r>
                  <w:r>
                    <w:rPr>
                      <w:rFonts w:ascii="Cambria" w:hAnsi="Cambria"/>
                    </w:rPr>
                    <w:t>-</w:t>
                  </w:r>
                  <w:r w:rsidRPr="008D6EA0">
                    <w:rPr>
                      <w:rFonts w:ascii="Cambria" w:hAnsi="Cambria"/>
                    </w:rPr>
                    <w:t>живачког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рада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запослених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њиховог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усавршавања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Академија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поседује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, у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свом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саставу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просторије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које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омогућавају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студентима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особљу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рад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на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рачунару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кори</w:t>
                  </w:r>
                  <w:r>
                    <w:rPr>
                      <w:rFonts w:ascii="Cambria" w:hAnsi="Cambria"/>
                    </w:rPr>
                    <w:t>-</w:t>
                  </w:r>
                  <w:r w:rsidRPr="008D6EA0">
                    <w:rPr>
                      <w:rFonts w:ascii="Cambria" w:hAnsi="Cambria"/>
                    </w:rPr>
                    <w:t>шћење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услуга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рачунског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центра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>.</w:t>
                  </w:r>
                  <w:r w:rsidRPr="00F338E5">
                    <w:rPr>
                      <w:rFonts w:ascii="Cambria" w:hAnsi="Cambria"/>
                      <w:color w:val="FF0000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На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три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инфо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пулта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укупно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5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рачунара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студенти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могу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да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информишу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о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дешавањима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активностима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одсека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целе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Академије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као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да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добију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информације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везене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за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активности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Националне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службе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за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запошљавање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Министарства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просвете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студентског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портала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-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Инфостуд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Универзитета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Нишу</w:t>
                  </w:r>
                  <w:proofErr w:type="spellEnd"/>
                  <w:r w:rsidRPr="008D6EA0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8D6EA0">
                    <w:rPr>
                      <w:rFonts w:ascii="Cambria" w:hAnsi="Cambria"/>
                    </w:rPr>
                    <w:t>сл</w:t>
                  </w:r>
                  <w:proofErr w:type="spellEnd"/>
                  <w:r w:rsidRPr="008D6EA0">
                    <w:rPr>
                      <w:rFonts w:ascii="Cambria" w:hAnsi="Cambria"/>
                    </w:rPr>
                    <w:t>.</w:t>
                  </w:r>
                </w:p>
                <w:p w:rsidR="008D6EA0" w:rsidRPr="008D6EA0" w:rsidRDefault="008D6EA0" w:rsidP="008D6EA0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1860F4">
                    <w:rPr>
                      <w:rFonts w:ascii="Cambria" w:hAnsi="Cambria"/>
                    </w:rPr>
                    <w:t>Студентски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парл</w:t>
                  </w:r>
                  <w:r>
                    <w:rPr>
                      <w:rFonts w:ascii="Cambria" w:hAnsi="Cambria"/>
                    </w:rPr>
                    <w:t>а</w:t>
                  </w:r>
                  <w:r w:rsidRPr="001860F4">
                    <w:rPr>
                      <w:rFonts w:ascii="Cambria" w:hAnsi="Cambria"/>
                    </w:rPr>
                    <w:t>мент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је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опремљен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са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два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рачунара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приступом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интернету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клима</w:t>
                  </w:r>
                  <w:r w:rsidR="00622D18">
                    <w:rPr>
                      <w:rFonts w:ascii="Cambria" w:hAnsi="Cambria"/>
                    </w:rPr>
                    <w:t>-</w:t>
                  </w:r>
                  <w:r w:rsidRPr="001860F4">
                    <w:rPr>
                      <w:rFonts w:ascii="Cambria" w:hAnsi="Cambria"/>
                    </w:rPr>
                    <w:t>тизован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је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Такође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омогућен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им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је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приступ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рачунарским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ресурсима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што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им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умногоме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помаже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да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једноставније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квалитетније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извршавају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своје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обавезе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током</w:t>
                  </w:r>
                  <w:proofErr w:type="spellEnd"/>
                  <w:r w:rsidRPr="001860F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860F4">
                    <w:rPr>
                      <w:rFonts w:ascii="Cambria" w:hAnsi="Cambria"/>
                    </w:rPr>
                    <w:t>шко</w:t>
                  </w:r>
                  <w:r w:rsidR="00622D18">
                    <w:rPr>
                      <w:rFonts w:ascii="Cambria" w:hAnsi="Cambria"/>
                    </w:rPr>
                    <w:t>-</w:t>
                  </w:r>
                  <w:r w:rsidRPr="001860F4">
                    <w:rPr>
                      <w:rFonts w:ascii="Cambria" w:hAnsi="Cambria"/>
                    </w:rPr>
                    <w:t>ловања</w:t>
                  </w:r>
                  <w:proofErr w:type="spellEnd"/>
                  <w:r w:rsidRPr="001860F4">
                    <w:rPr>
                      <w:rFonts w:ascii="Cambria" w:hAnsi="Cambria"/>
                    </w:rPr>
                    <w:t>.</w:t>
                  </w:r>
                </w:p>
                <w:p w:rsidR="00607DF2" w:rsidRPr="006D188E" w:rsidRDefault="00607DF2" w:rsidP="00607DF2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D188E">
                    <w:rPr>
                      <w:rFonts w:ascii="Cambria" w:hAnsi="Cambria"/>
                      <w:b/>
                      <w:bCs/>
                    </w:rPr>
                    <w:t xml:space="preserve">б) </w:t>
                  </w:r>
                  <w:proofErr w:type="spellStart"/>
                  <w:r w:rsidRPr="006D188E">
                    <w:rPr>
                      <w:rFonts w:ascii="Cambria" w:hAnsi="Cambria"/>
                      <w:b/>
                      <w:bCs/>
                    </w:rPr>
                    <w:t>Циљеви</w:t>
                  </w:r>
                  <w:proofErr w:type="spellEnd"/>
                  <w:r w:rsidRPr="006D188E">
                    <w:rPr>
                      <w:rFonts w:ascii="Cambria" w:hAnsi="Cambria"/>
                      <w:b/>
                      <w:bCs/>
                    </w:rPr>
                    <w:t xml:space="preserve">, </w:t>
                  </w:r>
                  <w:proofErr w:type="spellStart"/>
                  <w:r w:rsidRPr="006D188E">
                    <w:rPr>
                      <w:rFonts w:ascii="Cambria" w:hAnsi="Cambria"/>
                      <w:b/>
                      <w:bCs/>
                    </w:rPr>
                    <w:t>захтеви</w:t>
                  </w:r>
                  <w:proofErr w:type="spellEnd"/>
                  <w:r w:rsidRPr="006D188E">
                    <w:rPr>
                      <w:rFonts w:ascii="Cambria" w:hAnsi="Cambria"/>
                      <w:b/>
                      <w:bCs/>
                    </w:rPr>
                    <w:t xml:space="preserve"> и </w:t>
                  </w:r>
                  <w:proofErr w:type="spellStart"/>
                  <w:r w:rsidRPr="006D188E">
                    <w:rPr>
                      <w:rFonts w:ascii="Cambria" w:hAnsi="Cambria"/>
                      <w:b/>
                      <w:bCs/>
                    </w:rPr>
                    <w:t>очекивања</w:t>
                  </w:r>
                  <w:proofErr w:type="spellEnd"/>
                </w:p>
                <w:p w:rsidR="004F01B9" w:rsidRDefault="00210348" w:rsidP="00607D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lang w:val="sr-Cyrl-CS"/>
                    </w:rPr>
                  </w:pPr>
                  <w:r>
                    <w:rPr>
                      <w:rFonts w:ascii="Cambria" w:hAnsi="Cambria"/>
                      <w:lang w:val="sr-Cyrl-CS"/>
                    </w:rPr>
                    <w:t>По правилу, већина високошколских установа струковне оријентације, годинама су имале проблем, пре свега са квалитетном опремом, а често и са простором за одви-јање наставе. У том сегменту, Академија је, последњих година, направила велики искорак, пре свега у набавци нове и квалитетне опреме за извођење наставе, док су направљени и значајни кораци у повећању и побољшању просторних капацитета (Одсек Ниш је приликом формирања Академије проширио свој простор добијањем простора који је припадао средњој грађевинској школи „Неимар“</w:t>
                  </w:r>
                  <w:r w:rsidR="004F01B9">
                    <w:rPr>
                      <w:rFonts w:ascii="Cambria" w:hAnsi="Cambria"/>
                      <w:lang w:val="sr-Cyrl-CS"/>
                    </w:rPr>
                    <w:t>). Оно што представља велики задатак и изазов за све запослене у Академији је стална обнова и модернизација опреме, с обзиром да та опрема брзо застарева, пре свега она опрема која је везана за техничку струку (рачунарска опрема и софтвери).</w:t>
                  </w:r>
                  <w:r>
                    <w:rPr>
                      <w:rFonts w:ascii="Cambria" w:hAnsi="Cambria"/>
                      <w:lang w:val="sr-Cyrl-CS"/>
                    </w:rPr>
                    <w:t xml:space="preserve"> </w:t>
                  </w:r>
                </w:p>
                <w:p w:rsidR="00607DF2" w:rsidRDefault="004F01B9" w:rsidP="004F01B9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lang w:val="sr-Cyrl-CS"/>
                    </w:rPr>
                  </w:pPr>
                  <w:r>
                    <w:rPr>
                      <w:rFonts w:ascii="Cambria" w:hAnsi="Cambria"/>
                      <w:lang w:val="sr-Cyrl-CS"/>
                    </w:rPr>
                    <w:t>У овом тренутку се не знају будући модели финансирања високошколских установа, па се може само наслутити како ће се у наредном периоду одвијати активности на-бавке савремене опреме</w:t>
                  </w:r>
                  <w:r w:rsidR="00C118F7">
                    <w:rPr>
                      <w:rFonts w:ascii="Cambria" w:hAnsi="Cambria"/>
                      <w:lang w:val="sr-Cyrl-CS"/>
                    </w:rPr>
                    <w:t xml:space="preserve"> и праћење нових техничких и научних достигнућа. Један од путева ће сигурно бити веће учешће високошколских струковних установа на проје</w:t>
                  </w:r>
                  <w:r w:rsidR="00E36949">
                    <w:rPr>
                      <w:rFonts w:ascii="Cambria" w:hAnsi="Cambria"/>
                      <w:lang w:val="sr-Cyrl-CS"/>
                    </w:rPr>
                    <w:t>-</w:t>
                  </w:r>
                  <w:r w:rsidR="00C118F7">
                    <w:rPr>
                      <w:rFonts w:ascii="Cambria" w:hAnsi="Cambria"/>
                      <w:lang w:val="sr-Cyrl-CS"/>
                    </w:rPr>
                    <w:t>ктима комерцијалног типа, у сарадњи са компанијама из региона</w:t>
                  </w:r>
                  <w:r w:rsidR="00E36949">
                    <w:rPr>
                      <w:rFonts w:ascii="Cambria" w:hAnsi="Cambria"/>
                      <w:lang w:val="sr-Cyrl-CS"/>
                    </w:rPr>
                    <w:t>, где би један од бенефита био набавка нове опреме. Један од начина побољшања наставног процеса је и покушај коришћења лабораторија и опреме компанија са којима Академија има уговоре о пословно-техничкој сарадњи.</w:t>
                  </w:r>
                </w:p>
                <w:p w:rsidR="004F01B9" w:rsidRPr="0088459A" w:rsidRDefault="004F01B9" w:rsidP="00607D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lang w:val="sr-Cyrl-CS"/>
                    </w:rPr>
                  </w:pPr>
                </w:p>
                <w:p w:rsidR="00A93A85" w:rsidRPr="00A93A85" w:rsidRDefault="00607DF2" w:rsidP="00A93A85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C03CF2">
                    <w:rPr>
                      <w:rFonts w:asciiTheme="majorHAnsi" w:hAnsiTheme="majorHAnsi"/>
                      <w:b/>
                      <w:bCs/>
                    </w:rPr>
                    <w:t xml:space="preserve">в) </w:t>
                  </w:r>
                  <w:proofErr w:type="spellStart"/>
                  <w:r w:rsidRPr="00C03CF2">
                    <w:rPr>
                      <w:rFonts w:asciiTheme="majorHAnsi" w:hAnsiTheme="majorHAnsi"/>
                      <w:b/>
                      <w:bCs/>
                    </w:rPr>
                    <w:t>Анализа</w:t>
                  </w:r>
                  <w:proofErr w:type="spellEnd"/>
                  <w:r w:rsidRPr="00C03CF2">
                    <w:rPr>
                      <w:rFonts w:ascii="Cambria" w:hAnsi="Cambria"/>
                      <w:b/>
                    </w:rPr>
                    <w:t xml:space="preserve"> и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квантитативна</w:t>
                  </w:r>
                  <w:proofErr w:type="spellEnd"/>
                  <w:r w:rsidR="00A93A85"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оцена</w:t>
                  </w:r>
                  <w:proofErr w:type="spellEnd"/>
                  <w:r w:rsidR="00A93A85"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битних</w:t>
                  </w:r>
                  <w:proofErr w:type="spellEnd"/>
                  <w:r w:rsidR="00A93A85"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елемената</w:t>
                  </w:r>
                  <w:proofErr w:type="spellEnd"/>
                  <w:r w:rsidR="00A93A85"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квалитета</w:t>
                  </w:r>
                  <w:proofErr w:type="spellEnd"/>
                  <w:r w:rsidR="00A93A85"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Стандарда</w:t>
                  </w:r>
                  <w:proofErr w:type="spellEnd"/>
                  <w:r w:rsidR="00C56D26">
                    <w:rPr>
                      <w:rFonts w:ascii="Cambria" w:hAnsi="Cambria"/>
                      <w:b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1</w:t>
                  </w:r>
                  <w:r w:rsidR="00A93A85">
                    <w:rPr>
                      <w:rFonts w:ascii="Cambria" w:hAnsi="Cambria"/>
                      <w:b/>
                    </w:rPr>
                    <w:t>1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</w:t>
                  </w:r>
                  <w:proofErr w:type="spellStart"/>
                  <w:r w:rsidRPr="00C03CF2">
                    <w:rPr>
                      <w:rFonts w:ascii="Cambria" w:hAnsi="Cambria"/>
                      <w:b/>
                    </w:rPr>
                    <w:t>методом</w:t>
                  </w:r>
                  <w:proofErr w:type="spellEnd"/>
                  <w:r w:rsidRPr="00C03CF2">
                    <w:rPr>
                      <w:rFonts w:ascii="Cambria" w:hAnsi="Cambria"/>
                      <w:b/>
                    </w:rPr>
                    <w:t xml:space="preserve"> SWOT </w:t>
                  </w:r>
                  <w:proofErr w:type="spellStart"/>
                  <w:r>
                    <w:rPr>
                      <w:rFonts w:ascii="Cambria" w:hAnsi="Cambria"/>
                      <w:b/>
                    </w:rPr>
                    <w:t>анализе</w:t>
                  </w:r>
                  <w:proofErr w:type="spellEnd"/>
                  <w:r w:rsidR="00A93A85">
                    <w:rPr>
                      <w:b/>
                      <w:lang w:val="sr-Cyrl-CS"/>
                    </w:rPr>
                    <w:t>:</w:t>
                  </w:r>
                </w:p>
                <w:tbl>
                  <w:tblPr>
                    <w:tblpPr w:leftFromText="180" w:rightFromText="180" w:vertAnchor="text" w:horzAnchor="margin" w:tblpY="92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1E0"/>
                  </w:tblPr>
                  <w:tblGrid>
                    <w:gridCol w:w="4616"/>
                    <w:gridCol w:w="4616"/>
                  </w:tblGrid>
                  <w:tr w:rsidR="00C118F7" w:rsidRPr="001860F4" w:rsidTr="00E36949">
                    <w:tc>
                      <w:tcPr>
                        <w:tcW w:w="4616" w:type="dxa"/>
                        <w:tcBorders>
                          <w:top w:val="trip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C118F7" w:rsidRPr="001860F4" w:rsidRDefault="00C118F7" w:rsidP="00C118F7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  <w:sz w:val="26"/>
                            <w:szCs w:val="26"/>
                          </w:rPr>
                        </w:pPr>
                        <w:proofErr w:type="spellStart"/>
                        <w:r w:rsidRPr="001860F4">
                          <w:rPr>
                            <w:rFonts w:ascii="Cambria" w:hAnsi="Cambria"/>
                            <w:b/>
                            <w:bCs/>
                            <w:sz w:val="26"/>
                            <w:szCs w:val="26"/>
                          </w:rPr>
                          <w:t>Предности</w:t>
                        </w:r>
                        <w:proofErr w:type="spellEnd"/>
                      </w:p>
                    </w:tc>
                    <w:tc>
                      <w:tcPr>
                        <w:tcW w:w="4616" w:type="dxa"/>
                        <w:tcBorders>
                          <w:top w:val="trip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C118F7" w:rsidRPr="001860F4" w:rsidRDefault="00C118F7" w:rsidP="00C118F7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  <w:sz w:val="26"/>
                            <w:szCs w:val="26"/>
                          </w:rPr>
                        </w:pPr>
                        <w:proofErr w:type="spellStart"/>
                        <w:r w:rsidRPr="001860F4">
                          <w:rPr>
                            <w:rFonts w:ascii="Cambria" w:hAnsi="Cambria"/>
                            <w:b/>
                            <w:bCs/>
                            <w:sz w:val="26"/>
                            <w:szCs w:val="26"/>
                          </w:rPr>
                          <w:t>Слабости</w:t>
                        </w:r>
                        <w:proofErr w:type="spellEnd"/>
                      </w:p>
                    </w:tc>
                  </w:tr>
                  <w:tr w:rsidR="00C118F7" w:rsidRPr="001860F4" w:rsidTr="00E36949"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C118F7" w:rsidRPr="001860F4" w:rsidRDefault="00C118F7" w:rsidP="00C118F7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tabs>
                            <w:tab w:val="left" w:pos="171"/>
                            <w:tab w:val="left" w:pos="261"/>
                          </w:tabs>
                          <w:ind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ab/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Просторни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капацитети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су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усклађени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са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бројем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студената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према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постављеним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стандардима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прописаним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од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стране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На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ционалног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савета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за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високо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образовање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:rsidR="00C118F7" w:rsidRPr="001860F4" w:rsidRDefault="00C118F7" w:rsidP="00C118F7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tabs>
                            <w:tab w:val="left" w:pos="171"/>
                            <w:tab w:val="left" w:pos="261"/>
                          </w:tabs>
                          <w:ind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ab/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Техничка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лабораторијска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друга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опре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ма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за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извођење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наставе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је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на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високом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ни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воу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одговарајућа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студијски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м</w:t>
                        </w:r>
                        <w:proofErr w:type="spellEnd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програ-мима</w:t>
                        </w:r>
                        <w:proofErr w:type="spellEnd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броју</w:t>
                        </w:r>
                        <w:proofErr w:type="spellEnd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студената</w:t>
                        </w:r>
                        <w:proofErr w:type="spellEnd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+++ </w:t>
                        </w:r>
                      </w:p>
                      <w:p w:rsidR="00C118F7" w:rsidRPr="00C118F7" w:rsidRDefault="00C118F7" w:rsidP="00C118F7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tabs>
                            <w:tab w:val="left" w:pos="171"/>
                            <w:tab w:val="left" w:pos="261"/>
                          </w:tabs>
                          <w:ind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lastRenderedPageBreak/>
                          <w:t>Наставно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особље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студенти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имају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при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ступ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различитим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врстама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информација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у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електронском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облику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преко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академске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мреже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КОБСОН ++</w:t>
                        </w:r>
                      </w:p>
                      <w:p w:rsidR="00C118F7" w:rsidRPr="00C118F7" w:rsidRDefault="00C118F7" w:rsidP="00C118F7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tabs>
                            <w:tab w:val="left" w:pos="171"/>
                            <w:tab w:val="left" w:pos="261"/>
                          </w:tabs>
                          <w:ind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Искуство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међународних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пројеката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C118F7" w:rsidRPr="00C118F7" w:rsidRDefault="00C118F7" w:rsidP="00C118F7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tabs>
                            <w:tab w:val="left" w:pos="171"/>
                            <w:tab w:val="left" w:pos="261"/>
                          </w:tabs>
                          <w:ind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Добро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опремљени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амфитеатри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учио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нице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прилагођени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савременој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настави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</w:p>
                    </w:tc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:rsidR="00C118F7" w:rsidRPr="00C118F7" w:rsidRDefault="00C118F7" w:rsidP="00C118F7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tabs>
                            <w:tab w:val="left" w:pos="171"/>
                            <w:tab w:val="left" w:pos="261"/>
                          </w:tabs>
                          <w:ind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lastRenderedPageBreak/>
                          <w:t>Услови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опрема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у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појединим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средњим</w:t>
                        </w:r>
                        <w:proofErr w:type="spellEnd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школама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чије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просторне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капацитете</w:t>
                        </w:r>
                        <w:proofErr w:type="spellEnd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ко-ристи</w:t>
                        </w:r>
                        <w:proofErr w:type="spellEnd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Академија</w:t>
                        </w:r>
                        <w:proofErr w:type="spellEnd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су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релативно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скромни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C118F7" w:rsidRPr="00C118F7" w:rsidRDefault="00C118F7" w:rsidP="00C118F7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tabs>
                            <w:tab w:val="left" w:pos="171"/>
                            <w:tab w:val="left" w:pos="261"/>
                          </w:tabs>
                          <w:ind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Један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број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софтверских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пакета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који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би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до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ста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доприне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о</w:t>
                        </w:r>
                        <w:proofErr w:type="spellEnd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квалитету</w:t>
                        </w:r>
                        <w:proofErr w:type="spellEnd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наставе</w:t>
                        </w:r>
                        <w:proofErr w:type="spellEnd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се</w:t>
                        </w:r>
                        <w:proofErr w:type="spellEnd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не</w:t>
                        </w:r>
                        <w:proofErr w:type="spellEnd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приме</w:t>
                        </w:r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њује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због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недостатка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лиценци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 </w:t>
                        </w:r>
                      </w:p>
                      <w:p w:rsidR="00C118F7" w:rsidRPr="00C118F7" w:rsidRDefault="00C118F7" w:rsidP="00C118F7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tabs>
                            <w:tab w:val="left" w:pos="171"/>
                            <w:tab w:val="left" w:pos="261"/>
                          </w:tabs>
                          <w:ind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Велико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оптерећење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учионица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лабора-торија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представља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проблеме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у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прављењу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lastRenderedPageBreak/>
                          <w:t>распореда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часова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па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захтева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одржавање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целодневне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наставе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, у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две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смене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од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8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до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20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часова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</w:t>
                        </w:r>
                      </w:p>
                    </w:tc>
                  </w:tr>
                  <w:tr w:rsidR="00C118F7" w:rsidRPr="001860F4" w:rsidTr="00E36949"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C118F7" w:rsidRPr="001860F4" w:rsidRDefault="00C118F7" w:rsidP="00C118F7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sz w:val="26"/>
                            <w:szCs w:val="26"/>
                          </w:rPr>
                        </w:pPr>
                        <w:proofErr w:type="spellStart"/>
                        <w:r w:rsidRPr="001860F4">
                          <w:rPr>
                            <w:rFonts w:ascii="Cambria" w:hAnsi="Cambria"/>
                            <w:b/>
                            <w:bCs/>
                            <w:sz w:val="26"/>
                            <w:szCs w:val="26"/>
                          </w:rPr>
                          <w:lastRenderedPageBreak/>
                          <w:t>Могућности</w:t>
                        </w:r>
                        <w:proofErr w:type="spellEnd"/>
                      </w:p>
                    </w:tc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C118F7" w:rsidRPr="001860F4" w:rsidRDefault="00C118F7" w:rsidP="00C118F7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sz w:val="26"/>
                            <w:szCs w:val="26"/>
                          </w:rPr>
                        </w:pPr>
                        <w:proofErr w:type="spellStart"/>
                        <w:r w:rsidRPr="001860F4">
                          <w:rPr>
                            <w:rFonts w:ascii="Cambria" w:hAnsi="Cambria"/>
                            <w:b/>
                            <w:bCs/>
                            <w:sz w:val="26"/>
                            <w:szCs w:val="26"/>
                          </w:rPr>
                          <w:t>Опасности</w:t>
                        </w:r>
                        <w:proofErr w:type="spellEnd"/>
                      </w:p>
                    </w:tc>
                  </w:tr>
                  <w:tr w:rsidR="00C118F7" w:rsidRPr="001860F4" w:rsidTr="00E36949"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C118F7" w:rsidRPr="001860F4" w:rsidRDefault="00C118F7" w:rsidP="00C118F7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tabs>
                            <w:tab w:val="left" w:pos="171"/>
                            <w:tab w:val="left" w:pos="261"/>
                          </w:tabs>
                          <w:ind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ab/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Улагање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у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изградњу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новог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простора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пре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свега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лабораторија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простора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за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изво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ђење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наставе</w:t>
                        </w:r>
                        <w:proofErr w:type="spellEnd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:rsidR="00C118F7" w:rsidRPr="001860F4" w:rsidRDefault="00C118F7" w:rsidP="00C118F7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tabs>
                            <w:tab w:val="left" w:pos="171"/>
                            <w:tab w:val="left" w:pos="261"/>
                          </w:tabs>
                          <w:ind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ab/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Улагање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у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нову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опрему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континуирана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набавка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лиценци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за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најчешће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коришћене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софтвере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C118F7" w:rsidRPr="001860F4" w:rsidRDefault="00C118F7" w:rsidP="00C118F7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tabs>
                            <w:tab w:val="left" w:pos="171"/>
                            <w:tab w:val="left" w:pos="261"/>
                          </w:tabs>
                          <w:ind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ab/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Развијање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електронске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консултативне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наставе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са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студентима</w:t>
                        </w:r>
                        <w:proofErr w:type="spellEnd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C118F7" w:rsidRPr="00C56D26" w:rsidRDefault="00C118F7" w:rsidP="00C56D26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tabs>
                            <w:tab w:val="left" w:pos="171"/>
                            <w:tab w:val="left" w:pos="261"/>
                          </w:tabs>
                          <w:ind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ab/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Увођење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нових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технологија</w:t>
                        </w:r>
                        <w:proofErr w:type="spellEnd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у </w:t>
                        </w:r>
                        <w:proofErr w:type="spellStart"/>
                        <w:r w:rsidRPr="001860F4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настави</w:t>
                        </w:r>
                        <w:proofErr w:type="spellEnd"/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</w:t>
                        </w:r>
                      </w:p>
                    </w:tc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:rsidR="00C118F7" w:rsidRPr="00C118F7" w:rsidRDefault="00C118F7" w:rsidP="00C118F7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tabs>
                            <w:tab w:val="left" w:pos="171"/>
                            <w:tab w:val="left" w:pos="261"/>
                          </w:tabs>
                          <w:ind w:left="122" w:right="57" w:hanging="12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Недостатак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финансијских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средстава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за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улагање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у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простор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опрему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:rsidR="00C118F7" w:rsidRPr="00C118F7" w:rsidRDefault="00C118F7" w:rsidP="00C118F7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tabs>
                            <w:tab w:val="left" w:pos="171"/>
                            <w:tab w:val="left" w:pos="261"/>
                          </w:tabs>
                          <w:ind w:left="122" w:right="57" w:hanging="12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Због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недостатка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простора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тешко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је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разми-шљати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о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увођењу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нових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студијских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грама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за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којима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очигледно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постоји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по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треба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тржишта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C118F7" w:rsidRPr="00C118F7" w:rsidRDefault="00C118F7" w:rsidP="00C118F7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tabs>
                            <w:tab w:val="left" w:pos="171"/>
                            <w:tab w:val="left" w:pos="261"/>
                          </w:tabs>
                          <w:ind w:left="122" w:right="57" w:hanging="12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Скупе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лиценце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софтверских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>пакета</w:t>
                        </w:r>
                        <w:proofErr w:type="spellEnd"/>
                        <w:r w:rsidRPr="00C118F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+++</w:t>
                        </w:r>
                      </w:p>
                    </w:tc>
                  </w:tr>
                </w:tbl>
                <w:p w:rsidR="00607DF2" w:rsidRDefault="00607DF2" w:rsidP="00607DF2">
                  <w:pPr>
                    <w:autoSpaceDE w:val="0"/>
                    <w:autoSpaceDN w:val="0"/>
                    <w:adjustRightInd w:val="0"/>
                    <w:jc w:val="both"/>
                    <w:rPr>
                      <w:lang w:val="sr-Cyrl-CS"/>
                    </w:rPr>
                  </w:pPr>
                </w:p>
                <w:p w:rsidR="00607DF2" w:rsidRDefault="00607DF2" w:rsidP="00607DF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Theme="majorHAnsi" w:hAnsiTheme="majorHAnsi"/>
                      <w:b/>
                      <w:lang w:val="sr-Cyrl-CS"/>
                    </w:rPr>
                  </w:pPr>
                  <w:r w:rsidRPr="007F5380">
                    <w:rPr>
                      <w:rFonts w:asciiTheme="majorHAnsi" w:hAnsiTheme="majorHAnsi"/>
                      <w:b/>
                      <w:bCs/>
                    </w:rPr>
                    <w:t xml:space="preserve">г) </w:t>
                  </w:r>
                  <w:r w:rsidRPr="007F5380">
                    <w:rPr>
                      <w:rFonts w:asciiTheme="majorHAnsi" w:hAnsiTheme="majorHAnsi"/>
                      <w:b/>
                      <w:lang w:val="sr-Cyrl-CS"/>
                    </w:rPr>
                    <w:t>Предлог мера и активности за унапређење квалитета Стандарда 1</w:t>
                  </w:r>
                  <w:r w:rsidR="00C56D26">
                    <w:rPr>
                      <w:rFonts w:asciiTheme="majorHAnsi" w:hAnsiTheme="majorHAnsi"/>
                      <w:b/>
                      <w:lang w:val="sr-Cyrl-CS"/>
                    </w:rPr>
                    <w:t>1</w:t>
                  </w:r>
                </w:p>
                <w:p w:rsidR="00C118F7" w:rsidRPr="00E36949" w:rsidRDefault="00C118F7" w:rsidP="00E36949">
                  <w:pPr>
                    <w:pStyle w:val="ListParagraph"/>
                    <w:numPr>
                      <w:ilvl w:val="0"/>
                      <w:numId w:val="37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714" w:hanging="357"/>
                    <w:jc w:val="both"/>
                    <w:rPr>
                      <w:rFonts w:asciiTheme="majorHAnsi" w:hAnsiTheme="majorHAnsi"/>
                    </w:rPr>
                  </w:pPr>
                  <w:proofErr w:type="spellStart"/>
                  <w:r w:rsidRPr="00C56D26">
                    <w:rPr>
                      <w:rFonts w:asciiTheme="majorHAnsi" w:hAnsiTheme="majorHAnsi"/>
                    </w:rPr>
                    <w:t>Изнаћи</w:t>
                  </w:r>
                  <w:proofErr w:type="spellEnd"/>
                  <w:r w:rsidRPr="00C56D26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C56D26">
                    <w:rPr>
                      <w:rFonts w:asciiTheme="majorHAnsi" w:hAnsiTheme="majorHAnsi"/>
                    </w:rPr>
                    <w:t>моделе</w:t>
                  </w:r>
                  <w:proofErr w:type="spellEnd"/>
                  <w:r w:rsidRPr="00C118F7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C118F7">
                    <w:rPr>
                      <w:rFonts w:asciiTheme="majorHAnsi" w:hAnsiTheme="majorHAnsi"/>
                    </w:rPr>
                    <w:t>за</w:t>
                  </w:r>
                  <w:proofErr w:type="spellEnd"/>
                  <w:r w:rsidRPr="00C118F7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повољну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C118F7">
                    <w:rPr>
                      <w:rFonts w:asciiTheme="majorHAnsi" w:hAnsiTheme="majorHAnsi"/>
                    </w:rPr>
                    <w:t>набавку</w:t>
                  </w:r>
                  <w:proofErr w:type="spellEnd"/>
                  <w:r w:rsidRPr="00C118F7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пре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свега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регуларних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софтвера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, а </w:t>
                  </w:r>
                  <w:proofErr w:type="spellStart"/>
                  <w:r>
                    <w:rPr>
                      <w:rFonts w:asciiTheme="majorHAnsi" w:hAnsiTheme="majorHAnsi"/>
                    </w:rPr>
                    <w:t>затим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>
                    <w:rPr>
                      <w:rFonts w:asciiTheme="majorHAnsi" w:hAnsiTheme="majorHAnsi"/>
                    </w:rPr>
                    <w:t>нове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опреме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за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извођење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наставе</w:t>
                  </w:r>
                  <w:proofErr w:type="spellEnd"/>
                </w:p>
                <w:p w:rsidR="00E36949" w:rsidRPr="00E36949" w:rsidRDefault="00E36949" w:rsidP="00E36949">
                  <w:pPr>
                    <w:pStyle w:val="ListParagraph"/>
                    <w:numPr>
                      <w:ilvl w:val="0"/>
                      <w:numId w:val="37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714" w:hanging="357"/>
                    <w:jc w:val="both"/>
                    <w:rPr>
                      <w:rFonts w:asciiTheme="majorHAnsi" w:hAnsiTheme="majorHAnsi"/>
                    </w:rPr>
                  </w:pPr>
                  <w:proofErr w:type="spellStart"/>
                  <w:r>
                    <w:rPr>
                      <w:rFonts w:asciiTheme="majorHAnsi" w:hAnsiTheme="majorHAnsi"/>
                    </w:rPr>
                    <w:t>Веће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учешће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у </w:t>
                  </w:r>
                  <w:proofErr w:type="spellStart"/>
                  <w:r>
                    <w:rPr>
                      <w:rFonts w:asciiTheme="majorHAnsi" w:hAnsiTheme="majorHAnsi"/>
                    </w:rPr>
                    <w:t>свим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пројектима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(</w:t>
                  </w:r>
                  <w:proofErr w:type="spellStart"/>
                  <w:r>
                    <w:rPr>
                      <w:rFonts w:asciiTheme="majorHAnsi" w:hAnsiTheme="majorHAnsi"/>
                    </w:rPr>
                    <w:t>домаћи-међународни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</w:rPr>
                    <w:t>научни-стручни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</w:rPr>
                    <w:t>коме-рцијални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итд</w:t>
                  </w:r>
                  <w:proofErr w:type="spellEnd"/>
                  <w:r>
                    <w:rPr>
                      <w:rFonts w:asciiTheme="majorHAnsi" w:hAnsiTheme="majorHAnsi"/>
                    </w:rPr>
                    <w:t>.)</w:t>
                  </w:r>
                  <w:r w:rsidR="00C56D26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56D26">
                    <w:rPr>
                      <w:rFonts w:asciiTheme="majorHAnsi" w:hAnsiTheme="majorHAnsi"/>
                    </w:rPr>
                    <w:t>као</w:t>
                  </w:r>
                  <w:proofErr w:type="spellEnd"/>
                  <w:r w:rsidR="00C56D26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56D26">
                    <w:rPr>
                      <w:rFonts w:asciiTheme="majorHAnsi" w:hAnsiTheme="majorHAnsi"/>
                    </w:rPr>
                    <w:t>начин</w:t>
                  </w:r>
                  <w:proofErr w:type="spellEnd"/>
                  <w:r w:rsidR="00C56D26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56D26">
                    <w:rPr>
                      <w:rFonts w:asciiTheme="majorHAnsi" w:hAnsiTheme="majorHAnsi"/>
                    </w:rPr>
                    <w:t>стицања</w:t>
                  </w:r>
                  <w:proofErr w:type="spellEnd"/>
                  <w:r w:rsidR="00C56D26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56D26">
                    <w:rPr>
                      <w:rFonts w:asciiTheme="majorHAnsi" w:hAnsiTheme="majorHAnsi"/>
                    </w:rPr>
                    <w:t>финансијских</w:t>
                  </w:r>
                  <w:proofErr w:type="spellEnd"/>
                  <w:r w:rsidR="00C56D26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56D26">
                    <w:rPr>
                      <w:rFonts w:asciiTheme="majorHAnsi" w:hAnsiTheme="majorHAnsi"/>
                    </w:rPr>
                    <w:t>средстава</w:t>
                  </w:r>
                  <w:proofErr w:type="spellEnd"/>
                  <w:r w:rsidR="00C56D26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56D26">
                    <w:rPr>
                      <w:rFonts w:asciiTheme="majorHAnsi" w:hAnsiTheme="majorHAnsi"/>
                    </w:rPr>
                    <w:t>за</w:t>
                  </w:r>
                  <w:proofErr w:type="spellEnd"/>
                  <w:r w:rsidR="00C56D26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56D26">
                    <w:rPr>
                      <w:rFonts w:asciiTheme="majorHAnsi" w:hAnsiTheme="majorHAnsi"/>
                    </w:rPr>
                    <w:t>набавку</w:t>
                  </w:r>
                  <w:proofErr w:type="spellEnd"/>
                  <w:r w:rsidR="00C56D26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56D26">
                    <w:rPr>
                      <w:rFonts w:asciiTheme="majorHAnsi" w:hAnsiTheme="majorHAnsi"/>
                    </w:rPr>
                    <w:t>нове</w:t>
                  </w:r>
                  <w:proofErr w:type="spellEnd"/>
                  <w:r w:rsidR="00C56D26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C56D26">
                    <w:rPr>
                      <w:rFonts w:asciiTheme="majorHAnsi" w:hAnsiTheme="majorHAnsi"/>
                    </w:rPr>
                    <w:t>опреме</w:t>
                  </w:r>
                  <w:proofErr w:type="spellEnd"/>
                </w:p>
                <w:p w:rsidR="00CD720D" w:rsidRPr="00C56D26" w:rsidRDefault="00E36949" w:rsidP="00C56D26">
                  <w:pPr>
                    <w:pStyle w:val="ListParagraph"/>
                    <w:numPr>
                      <w:ilvl w:val="0"/>
                      <w:numId w:val="37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714" w:hanging="357"/>
                    <w:jc w:val="both"/>
                    <w:rPr>
                      <w:rFonts w:asciiTheme="majorHAnsi" w:hAnsiTheme="majorHAnsi"/>
                    </w:rPr>
                  </w:pPr>
                  <w:proofErr w:type="spellStart"/>
                  <w:r>
                    <w:rPr>
                      <w:rFonts w:asciiTheme="majorHAnsi" w:hAnsiTheme="majorHAnsi"/>
                    </w:rPr>
                    <w:t>Коришћење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лабораторија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>
                    <w:rPr>
                      <w:rFonts w:asciiTheme="majorHAnsi" w:hAnsiTheme="majorHAnsi"/>
                    </w:rPr>
                    <w:t>других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капацитета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компанија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на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подручју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града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Ниша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– </w:t>
                  </w:r>
                  <w:proofErr w:type="spellStart"/>
                  <w:r>
                    <w:rPr>
                      <w:rFonts w:asciiTheme="majorHAnsi" w:hAnsiTheme="majorHAnsi"/>
                    </w:rPr>
                    <w:t>појачање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техничко-стручне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базе</w:t>
                  </w:r>
                  <w:proofErr w:type="spellEnd"/>
                </w:p>
                <w:p w:rsidR="00CD720D" w:rsidRPr="00CD720D" w:rsidRDefault="00CD720D" w:rsidP="00CD720D">
                  <w:pPr>
                    <w:tabs>
                      <w:tab w:val="left" w:pos="9282"/>
                    </w:tabs>
                    <w:spacing w:before="120"/>
                    <w:jc w:val="both"/>
                  </w:pPr>
                </w:p>
              </w:tc>
            </w:tr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A93A85" w:rsidRPr="00845B4F" w:rsidRDefault="00510093" w:rsidP="00A93A85">
                  <w:pPr>
                    <w:jc w:val="both"/>
                    <w:rPr>
                      <w:rFonts w:ascii="Cambria" w:hAnsi="Cambria"/>
                    </w:rPr>
                  </w:pPr>
                  <w:r w:rsidRPr="00845B4F">
                    <w:rPr>
                      <w:rFonts w:ascii="Cambria" w:hAnsi="Cambria"/>
                      <w:b/>
                      <w:lang w:val="sr-Cyrl-CS"/>
                    </w:rPr>
                    <w:lastRenderedPageBreak/>
                    <w:t>Показатељи и прилози за С</w:t>
                  </w:r>
                  <w:r w:rsidR="00A93A85" w:rsidRPr="00845B4F">
                    <w:rPr>
                      <w:rFonts w:ascii="Cambria" w:hAnsi="Cambria"/>
                      <w:b/>
                      <w:lang w:val="sr-Cyrl-CS"/>
                    </w:rPr>
                    <w:t>тандард  11</w:t>
                  </w:r>
                  <w:r w:rsidR="00A93A85" w:rsidRPr="00845B4F">
                    <w:rPr>
                      <w:rFonts w:ascii="Cambria" w:hAnsi="Cambria"/>
                      <w:b/>
                      <w:color w:val="FF0000"/>
                      <w:lang w:val="sr-Cyrl-CS"/>
                    </w:rPr>
                    <w:t>:</w:t>
                  </w:r>
                </w:p>
                <w:p w:rsidR="00A93A85" w:rsidRPr="00845B4F" w:rsidRDefault="00A77C0F" w:rsidP="00A93A85">
                  <w:pPr>
                    <w:jc w:val="both"/>
                    <w:rPr>
                      <w:rFonts w:ascii="Cambria" w:hAnsi="Cambria"/>
                    </w:rPr>
                  </w:pPr>
                  <w:hyperlink r:id="rId10" w:history="1">
                    <w:proofErr w:type="spellStart"/>
                    <w:r w:rsidR="00A93A85" w:rsidRPr="00A77C0F">
                      <w:rPr>
                        <w:rStyle w:val="Hyperlink"/>
                        <w:rFonts w:ascii="Cambria" w:hAnsi="Cambria"/>
                        <w:b/>
                      </w:rPr>
                      <w:t>Табела</w:t>
                    </w:r>
                    <w:proofErr w:type="spellEnd"/>
                    <w:r w:rsidR="00A93A85" w:rsidRPr="00A77C0F">
                      <w:rPr>
                        <w:rStyle w:val="Hyperlink"/>
                        <w:rFonts w:ascii="Cambria" w:hAnsi="Cambria"/>
                        <w:b/>
                      </w:rPr>
                      <w:t xml:space="preserve"> 11.1.</w:t>
                    </w:r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 xml:space="preserve">  </w:t>
                    </w:r>
                    <w:proofErr w:type="spellStart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>Укупна</w:t>
                    </w:r>
                    <w:proofErr w:type="spellEnd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 xml:space="preserve">  </w:t>
                    </w:r>
                    <w:proofErr w:type="spellStart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>површина</w:t>
                    </w:r>
                    <w:proofErr w:type="spellEnd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 xml:space="preserve"> (у  </w:t>
                    </w:r>
                    <w:proofErr w:type="spellStart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>власништву</w:t>
                    </w:r>
                    <w:proofErr w:type="spellEnd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 xml:space="preserve">  </w:t>
                    </w:r>
                    <w:proofErr w:type="spellStart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>високошколске</w:t>
                    </w:r>
                    <w:proofErr w:type="spellEnd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 xml:space="preserve">  </w:t>
                    </w:r>
                    <w:proofErr w:type="spellStart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>установ</w:t>
                    </w:r>
                    <w:r w:rsidR="00510093" w:rsidRPr="00A77C0F">
                      <w:rPr>
                        <w:rStyle w:val="Hyperlink"/>
                        <w:rFonts w:ascii="Cambria" w:hAnsi="Cambria"/>
                      </w:rPr>
                      <w:t>е</w:t>
                    </w:r>
                    <w:proofErr w:type="spellEnd"/>
                    <w:r w:rsidR="00510093" w:rsidRPr="00A77C0F">
                      <w:rPr>
                        <w:rStyle w:val="Hyperlink"/>
                        <w:rFonts w:ascii="Cambria" w:hAnsi="Cambria"/>
                      </w:rPr>
                      <w:t xml:space="preserve">  и </w:t>
                    </w:r>
                    <w:proofErr w:type="spellStart"/>
                    <w:r w:rsidR="00510093" w:rsidRPr="00A77C0F">
                      <w:rPr>
                        <w:rStyle w:val="Hyperlink"/>
                        <w:rFonts w:ascii="Cambria" w:hAnsi="Cambria"/>
                      </w:rPr>
                      <w:t>изна</w:t>
                    </w:r>
                    <w:r w:rsidR="00845B4F" w:rsidRPr="00A77C0F">
                      <w:rPr>
                        <w:rStyle w:val="Hyperlink"/>
                        <w:rFonts w:ascii="Cambria" w:hAnsi="Cambria"/>
                      </w:rPr>
                      <w:t>-јмљени</w:t>
                    </w:r>
                    <w:proofErr w:type="spellEnd"/>
                    <w:r w:rsidR="00510093" w:rsidRPr="00A77C0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510093" w:rsidRPr="00A77C0F">
                      <w:rPr>
                        <w:rStyle w:val="Hyperlink"/>
                        <w:rFonts w:ascii="Cambria" w:hAnsi="Cambria"/>
                      </w:rPr>
                      <w:t>простор</w:t>
                    </w:r>
                    <w:proofErr w:type="spellEnd"/>
                    <w:r w:rsidR="00510093" w:rsidRPr="00A77C0F">
                      <w:rPr>
                        <w:rStyle w:val="Hyperlink"/>
                        <w:rFonts w:ascii="Cambria" w:hAnsi="Cambria"/>
                      </w:rPr>
                      <w:t xml:space="preserve">) </w:t>
                    </w:r>
                    <w:proofErr w:type="spellStart"/>
                    <w:r w:rsidR="00510093" w:rsidRPr="00A77C0F">
                      <w:rPr>
                        <w:rStyle w:val="Hyperlink"/>
                        <w:rFonts w:ascii="Cambria" w:hAnsi="Cambria"/>
                      </w:rPr>
                      <w:t>са</w:t>
                    </w:r>
                    <w:proofErr w:type="spellEnd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>пов</w:t>
                    </w:r>
                    <w:r w:rsidR="00510093" w:rsidRPr="00A77C0F">
                      <w:rPr>
                        <w:rStyle w:val="Hyperlink"/>
                        <w:rFonts w:ascii="Cambria" w:hAnsi="Cambria"/>
                      </w:rPr>
                      <w:t>ршином</w:t>
                    </w:r>
                    <w:proofErr w:type="spellEnd"/>
                    <w:r w:rsidR="00510093" w:rsidRPr="00A77C0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510093" w:rsidRPr="00A77C0F">
                      <w:rPr>
                        <w:rStyle w:val="Hyperlink"/>
                        <w:rFonts w:ascii="Cambria" w:hAnsi="Cambria"/>
                      </w:rPr>
                      <w:t>објеката</w:t>
                    </w:r>
                    <w:proofErr w:type="spellEnd"/>
                    <w:r w:rsidR="00510093" w:rsidRPr="00A77C0F">
                      <w:rPr>
                        <w:rStyle w:val="Hyperlink"/>
                        <w:rFonts w:ascii="Cambria" w:hAnsi="Cambria"/>
                      </w:rPr>
                      <w:t xml:space="preserve"> (</w:t>
                    </w:r>
                    <w:proofErr w:type="spellStart"/>
                    <w:r w:rsidR="00510093" w:rsidRPr="00A77C0F">
                      <w:rPr>
                        <w:rStyle w:val="Hyperlink"/>
                        <w:rFonts w:ascii="Cambria" w:hAnsi="Cambria"/>
                      </w:rPr>
                      <w:t>амфитеатри</w:t>
                    </w:r>
                    <w:proofErr w:type="spellEnd"/>
                    <w:r w:rsidR="00510093" w:rsidRPr="00A77C0F">
                      <w:rPr>
                        <w:rStyle w:val="Hyperlink"/>
                        <w:rFonts w:ascii="Cambria" w:hAnsi="Cambria"/>
                      </w:rPr>
                      <w:t xml:space="preserve">, </w:t>
                    </w:r>
                    <w:proofErr w:type="spellStart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>учионице</w:t>
                    </w:r>
                    <w:proofErr w:type="spellEnd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 xml:space="preserve">, </w:t>
                    </w:r>
                    <w:proofErr w:type="spellStart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>лабораторије</w:t>
                    </w:r>
                    <w:proofErr w:type="spellEnd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 xml:space="preserve">, </w:t>
                    </w:r>
                    <w:proofErr w:type="spellStart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>организационе</w:t>
                    </w:r>
                    <w:proofErr w:type="spellEnd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>јединице</w:t>
                    </w:r>
                    <w:proofErr w:type="spellEnd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 xml:space="preserve">, </w:t>
                    </w:r>
                    <w:proofErr w:type="spellStart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>службе</w:t>
                    </w:r>
                    <w:proofErr w:type="spellEnd"/>
                    <w:r w:rsidR="00A93A85" w:rsidRPr="00A77C0F">
                      <w:rPr>
                        <w:rStyle w:val="Hyperlink"/>
                        <w:rFonts w:ascii="Cambria" w:hAnsi="Cambria"/>
                      </w:rPr>
                      <w:t>)</w:t>
                    </w:r>
                  </w:hyperlink>
                  <w:r w:rsidR="00A93A85" w:rsidRPr="00845B4F">
                    <w:rPr>
                      <w:rFonts w:ascii="Cambria" w:hAnsi="Cambria"/>
                    </w:rPr>
                    <w:t xml:space="preserve"> </w:t>
                  </w:r>
                </w:p>
                <w:p w:rsidR="00A93A85" w:rsidRPr="00845B4F" w:rsidRDefault="00D837D5" w:rsidP="00A93A85">
                  <w:pPr>
                    <w:jc w:val="both"/>
                    <w:rPr>
                      <w:rFonts w:ascii="Cambria" w:hAnsi="Cambria"/>
                    </w:rPr>
                  </w:pPr>
                  <w:hyperlink r:id="rId11" w:history="1">
                    <w:proofErr w:type="spellStart"/>
                    <w:r w:rsidR="00A93A85" w:rsidRPr="00C95030">
                      <w:rPr>
                        <w:rStyle w:val="Hyperlink"/>
                        <w:rFonts w:ascii="Cambria" w:hAnsi="Cambria"/>
                        <w:b/>
                      </w:rPr>
                      <w:t>Табела</w:t>
                    </w:r>
                    <w:proofErr w:type="spellEnd"/>
                    <w:r w:rsidR="00A93A85" w:rsidRPr="00C95030">
                      <w:rPr>
                        <w:rStyle w:val="Hyperlink"/>
                        <w:rFonts w:ascii="Cambria" w:hAnsi="Cambria"/>
                        <w:b/>
                      </w:rPr>
                      <w:t xml:space="preserve"> 11.2.</w:t>
                    </w:r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>Листа</w:t>
                    </w:r>
                    <w:proofErr w:type="spellEnd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>опреме</w:t>
                    </w:r>
                    <w:proofErr w:type="spellEnd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 xml:space="preserve"> у </w:t>
                    </w:r>
                    <w:proofErr w:type="spellStart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>власништву</w:t>
                    </w:r>
                    <w:proofErr w:type="spellEnd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>високошколске</w:t>
                    </w:r>
                    <w:proofErr w:type="spellEnd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>установе</w:t>
                    </w:r>
                    <w:proofErr w:type="spellEnd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>која</w:t>
                    </w:r>
                    <w:proofErr w:type="spellEnd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>се</w:t>
                    </w:r>
                    <w:proofErr w:type="spellEnd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>користи</w:t>
                    </w:r>
                    <w:proofErr w:type="spellEnd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 xml:space="preserve"> у </w:t>
                    </w:r>
                    <w:proofErr w:type="spellStart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>наставном</w:t>
                    </w:r>
                    <w:proofErr w:type="spellEnd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>процесу</w:t>
                    </w:r>
                    <w:proofErr w:type="spellEnd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 xml:space="preserve"> и </w:t>
                    </w:r>
                    <w:proofErr w:type="spellStart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>научноистраживачком</w:t>
                    </w:r>
                    <w:proofErr w:type="spellEnd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proofErr w:type="spellStart"/>
                    <w:r w:rsidR="00A93A85" w:rsidRPr="00C95030">
                      <w:rPr>
                        <w:rStyle w:val="Hyperlink"/>
                        <w:rFonts w:ascii="Cambria" w:hAnsi="Cambria"/>
                      </w:rPr>
                      <w:t>раду</w:t>
                    </w:r>
                    <w:proofErr w:type="spellEnd"/>
                  </w:hyperlink>
                  <w:r w:rsidR="00A93A85" w:rsidRPr="00845B4F">
                    <w:rPr>
                      <w:rFonts w:ascii="Cambria" w:hAnsi="Cambria"/>
                    </w:rPr>
                    <w:t xml:space="preserve"> </w:t>
                  </w:r>
                </w:p>
                <w:p w:rsidR="00834D85" w:rsidRPr="00A95ABB" w:rsidRDefault="00D837D5" w:rsidP="00A93A85">
                  <w:pPr>
                    <w:widowControl w:val="0"/>
                    <w:autoSpaceDE w:val="0"/>
                    <w:jc w:val="both"/>
                  </w:pPr>
                  <w:hyperlink r:id="rId12" w:history="1">
                    <w:r w:rsidR="00A93A85" w:rsidRPr="00C95030">
                      <w:rPr>
                        <w:rStyle w:val="Hyperlink"/>
                        <w:rFonts w:ascii="Cambria" w:hAnsi="Cambria"/>
                        <w:b/>
                        <w:lang w:val="ru-RU"/>
                      </w:rPr>
                      <w:t>Табела 11.3.</w:t>
                    </w:r>
                    <w:r w:rsidR="00A93A85" w:rsidRPr="00C95030">
                      <w:rPr>
                        <w:rStyle w:val="Hyperlink"/>
                        <w:rFonts w:ascii="Cambria" w:hAnsi="Cambria"/>
                        <w:lang w:val="ru-RU"/>
                      </w:rPr>
                      <w:t xml:space="preserve"> Наставно-научне и стручне базе</w:t>
                    </w:r>
                  </w:hyperlink>
                </w:p>
              </w:tc>
            </w:tr>
          </w:tbl>
          <w:p w:rsidR="00346247" w:rsidRPr="00CD720D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13"/>
      <w:footerReference w:type="even" r:id="rId14"/>
      <w:footerReference w:type="default" r:id="rId15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94" w:rsidRDefault="00F60694">
      <w:r>
        <w:separator/>
      </w:r>
    </w:p>
  </w:endnote>
  <w:endnote w:type="continuationSeparator" w:id="1">
    <w:p w:rsidR="00F60694" w:rsidRDefault="00F60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AC" w:rsidRDefault="00D837D5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64AC" w:rsidRDefault="008564AC" w:rsidP="008705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C8" w:rsidRDefault="009F4FC8">
    <w:pPr>
      <w:pStyle w:val="Footer"/>
      <w:jc w:val="right"/>
    </w:pPr>
  </w:p>
  <w:p w:rsidR="008564AC" w:rsidRDefault="008564AC" w:rsidP="008705B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94" w:rsidRDefault="00F60694">
      <w:r>
        <w:separator/>
      </w:r>
    </w:p>
  </w:footnote>
  <w:footnote w:type="continuationSeparator" w:id="1">
    <w:p w:rsidR="00F60694" w:rsidRDefault="00F60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9"/>
      <w:gridCol w:w="1265"/>
    </w:tblGrid>
    <w:tr w:rsidR="00834D85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34D85" w:rsidRDefault="00C35B52" w:rsidP="0084228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I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Извештај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о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самовредновању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и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оцењивању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квалитета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АТВСС: СТАНДАРД 14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:rsidR="00834D85" w:rsidRDefault="00834D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8"/>
    <w:multiLevelType w:val="singleLevel"/>
    <w:tmpl w:val="00000008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628" w:hanging="360"/>
      </w:pPr>
      <w:rPr>
        <w:rFonts w:ascii="Symbol" w:hAnsi="Symbol" w:cs="Symbol" w:hint="default"/>
      </w:rPr>
    </w:lvl>
  </w:abstractNum>
  <w:abstractNum w:abstractNumId="13">
    <w:nsid w:val="00000009"/>
    <w:multiLevelType w:val="singleLevel"/>
    <w:tmpl w:val="00000009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174" w:hanging="360"/>
      </w:pPr>
      <w:rPr>
        <w:rFonts w:ascii="Symbol" w:hAnsi="Symbol" w:cs="Symbol" w:hint="default"/>
      </w:rPr>
    </w:lvl>
  </w:abstractNum>
  <w:abstractNum w:abstractNumId="14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0B"/>
    <w:multiLevelType w:val="singleLevel"/>
    <w:tmpl w:val="0000000B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628" w:hanging="360"/>
      </w:pPr>
      <w:rPr>
        <w:rFonts w:ascii="Symbol" w:hAnsi="Symbol" w:cs="Symbol" w:hint="default"/>
      </w:rPr>
    </w:lvl>
  </w:abstractNum>
  <w:abstractNum w:abstractNumId="16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7">
    <w:nsid w:val="0000000F"/>
    <w:multiLevelType w:val="singleLevel"/>
    <w:tmpl w:val="0000000F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315" w:hanging="360"/>
      </w:pPr>
      <w:rPr>
        <w:rFonts w:ascii="Symbol" w:hAnsi="Symbol" w:cs="Symbol" w:hint="default"/>
      </w:rPr>
    </w:lvl>
  </w:abstractNum>
  <w:abstractNum w:abstractNumId="19">
    <w:nsid w:val="00000011"/>
    <w:multiLevelType w:val="singleLevel"/>
    <w:tmpl w:val="00000011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0">
    <w:nsid w:val="039A4C50"/>
    <w:multiLevelType w:val="hybridMultilevel"/>
    <w:tmpl w:val="C20A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58E514C"/>
    <w:multiLevelType w:val="hybridMultilevel"/>
    <w:tmpl w:val="1B40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BBA1956"/>
    <w:multiLevelType w:val="hybridMultilevel"/>
    <w:tmpl w:val="AA283BE8"/>
    <w:lvl w:ilvl="0" w:tplc="0409000D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DD7F08"/>
    <w:multiLevelType w:val="hybridMultilevel"/>
    <w:tmpl w:val="E432DF3A"/>
    <w:lvl w:ilvl="0" w:tplc="0409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32833CE"/>
    <w:multiLevelType w:val="hybridMultilevel"/>
    <w:tmpl w:val="436AC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2932E0"/>
    <w:multiLevelType w:val="hybridMultilevel"/>
    <w:tmpl w:val="0DE2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48463E"/>
    <w:multiLevelType w:val="hybridMultilevel"/>
    <w:tmpl w:val="07F0D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D152B3"/>
    <w:multiLevelType w:val="hybridMultilevel"/>
    <w:tmpl w:val="E13429A4"/>
    <w:lvl w:ilvl="0" w:tplc="0409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684260"/>
    <w:multiLevelType w:val="hybridMultilevel"/>
    <w:tmpl w:val="4D041950"/>
    <w:lvl w:ilvl="0" w:tplc="0409000D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882F70"/>
    <w:multiLevelType w:val="hybridMultilevel"/>
    <w:tmpl w:val="212C1D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25"/>
  </w:num>
  <w:num w:numId="13">
    <w:abstractNumId w:val="32"/>
  </w:num>
  <w:num w:numId="14">
    <w:abstractNumId w:val="28"/>
  </w:num>
  <w:num w:numId="15">
    <w:abstractNumId w:val="34"/>
  </w:num>
  <w:num w:numId="16">
    <w:abstractNumId w:val="23"/>
  </w:num>
  <w:num w:numId="17">
    <w:abstractNumId w:val="10"/>
  </w:num>
  <w:num w:numId="18">
    <w:abstractNumId w:val="26"/>
  </w:num>
  <w:num w:numId="19">
    <w:abstractNumId w:val="16"/>
  </w:num>
  <w:num w:numId="20">
    <w:abstractNumId w:val="18"/>
  </w:num>
  <w:num w:numId="21">
    <w:abstractNumId w:val="11"/>
  </w:num>
  <w:num w:numId="22">
    <w:abstractNumId w:val="14"/>
  </w:num>
  <w:num w:numId="23">
    <w:abstractNumId w:val="19"/>
  </w:num>
  <w:num w:numId="24">
    <w:abstractNumId w:val="30"/>
  </w:num>
  <w:num w:numId="25">
    <w:abstractNumId w:val="17"/>
  </w:num>
  <w:num w:numId="26">
    <w:abstractNumId w:val="27"/>
  </w:num>
  <w:num w:numId="27">
    <w:abstractNumId w:val="15"/>
  </w:num>
  <w:num w:numId="28">
    <w:abstractNumId w:val="20"/>
  </w:num>
  <w:num w:numId="29">
    <w:abstractNumId w:val="21"/>
  </w:num>
  <w:num w:numId="30">
    <w:abstractNumId w:val="13"/>
  </w:num>
  <w:num w:numId="31">
    <w:abstractNumId w:val="12"/>
  </w:num>
  <w:num w:numId="32">
    <w:abstractNumId w:val="22"/>
  </w:num>
  <w:num w:numId="33">
    <w:abstractNumId w:val="33"/>
  </w:num>
  <w:num w:numId="34">
    <w:abstractNumId w:val="24"/>
  </w:num>
  <w:num w:numId="35">
    <w:abstractNumId w:val="29"/>
  </w:num>
  <w:num w:numId="36">
    <w:abstractNumId w:val="31"/>
  </w:num>
  <w:num w:numId="37">
    <w:abstractNumId w:val="3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31073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9D4A95"/>
    <w:rsid w:val="00014104"/>
    <w:rsid w:val="00015EE2"/>
    <w:rsid w:val="00020AB2"/>
    <w:rsid w:val="00020B7A"/>
    <w:rsid w:val="00023789"/>
    <w:rsid w:val="000311F7"/>
    <w:rsid w:val="000359F7"/>
    <w:rsid w:val="00040C21"/>
    <w:rsid w:val="00054F7D"/>
    <w:rsid w:val="000635CA"/>
    <w:rsid w:val="000761A3"/>
    <w:rsid w:val="000779C8"/>
    <w:rsid w:val="000833E4"/>
    <w:rsid w:val="00085F9A"/>
    <w:rsid w:val="000862A2"/>
    <w:rsid w:val="00091CA3"/>
    <w:rsid w:val="0009675F"/>
    <w:rsid w:val="000A3FB4"/>
    <w:rsid w:val="000B30C2"/>
    <w:rsid w:val="000B7749"/>
    <w:rsid w:val="000C3081"/>
    <w:rsid w:val="000D307A"/>
    <w:rsid w:val="000E5B6D"/>
    <w:rsid w:val="000F0B98"/>
    <w:rsid w:val="000F73EC"/>
    <w:rsid w:val="000F7D8B"/>
    <w:rsid w:val="0010057D"/>
    <w:rsid w:val="00100A15"/>
    <w:rsid w:val="00100A41"/>
    <w:rsid w:val="00102ADB"/>
    <w:rsid w:val="001050FA"/>
    <w:rsid w:val="001062D6"/>
    <w:rsid w:val="00110CF2"/>
    <w:rsid w:val="00113825"/>
    <w:rsid w:val="00113E1F"/>
    <w:rsid w:val="0011730F"/>
    <w:rsid w:val="00120376"/>
    <w:rsid w:val="00132D16"/>
    <w:rsid w:val="00135F74"/>
    <w:rsid w:val="00141D0A"/>
    <w:rsid w:val="00142FF1"/>
    <w:rsid w:val="00143B01"/>
    <w:rsid w:val="00146279"/>
    <w:rsid w:val="00161850"/>
    <w:rsid w:val="001629ED"/>
    <w:rsid w:val="00164A81"/>
    <w:rsid w:val="001656DC"/>
    <w:rsid w:val="00171772"/>
    <w:rsid w:val="001724F4"/>
    <w:rsid w:val="0017525C"/>
    <w:rsid w:val="00175B02"/>
    <w:rsid w:val="0018250A"/>
    <w:rsid w:val="00182801"/>
    <w:rsid w:val="001927D0"/>
    <w:rsid w:val="00195EEE"/>
    <w:rsid w:val="001A3B66"/>
    <w:rsid w:val="001B0E55"/>
    <w:rsid w:val="001B39B7"/>
    <w:rsid w:val="001B686D"/>
    <w:rsid w:val="001C38F8"/>
    <w:rsid w:val="001C4F9F"/>
    <w:rsid w:val="001C6B32"/>
    <w:rsid w:val="001D558E"/>
    <w:rsid w:val="001E17F6"/>
    <w:rsid w:val="001E2849"/>
    <w:rsid w:val="001E49F2"/>
    <w:rsid w:val="001E4B2C"/>
    <w:rsid w:val="001F588D"/>
    <w:rsid w:val="001F7992"/>
    <w:rsid w:val="00202407"/>
    <w:rsid w:val="002025D6"/>
    <w:rsid w:val="002042A4"/>
    <w:rsid w:val="002070C4"/>
    <w:rsid w:val="0021030A"/>
    <w:rsid w:val="00210348"/>
    <w:rsid w:val="0021365F"/>
    <w:rsid w:val="00216374"/>
    <w:rsid w:val="002175D4"/>
    <w:rsid w:val="002265E1"/>
    <w:rsid w:val="002462C0"/>
    <w:rsid w:val="00246D0F"/>
    <w:rsid w:val="00247F29"/>
    <w:rsid w:val="00250FE6"/>
    <w:rsid w:val="00252F68"/>
    <w:rsid w:val="002579C3"/>
    <w:rsid w:val="00264C23"/>
    <w:rsid w:val="00267D98"/>
    <w:rsid w:val="002732E4"/>
    <w:rsid w:val="002802F4"/>
    <w:rsid w:val="00287F1A"/>
    <w:rsid w:val="0029095C"/>
    <w:rsid w:val="00290E45"/>
    <w:rsid w:val="002A1CB4"/>
    <w:rsid w:val="002A2A49"/>
    <w:rsid w:val="002A42D6"/>
    <w:rsid w:val="002A4907"/>
    <w:rsid w:val="002A7CC7"/>
    <w:rsid w:val="002C28B5"/>
    <w:rsid w:val="002C3565"/>
    <w:rsid w:val="002C5CE6"/>
    <w:rsid w:val="002C7375"/>
    <w:rsid w:val="002D7B06"/>
    <w:rsid w:val="002E0B90"/>
    <w:rsid w:val="002E5C01"/>
    <w:rsid w:val="002F7AF5"/>
    <w:rsid w:val="00300CF1"/>
    <w:rsid w:val="0030457D"/>
    <w:rsid w:val="00310094"/>
    <w:rsid w:val="00313547"/>
    <w:rsid w:val="00315854"/>
    <w:rsid w:val="00316BC6"/>
    <w:rsid w:val="003355B3"/>
    <w:rsid w:val="00336E66"/>
    <w:rsid w:val="003410BD"/>
    <w:rsid w:val="00346247"/>
    <w:rsid w:val="00346C54"/>
    <w:rsid w:val="003474B7"/>
    <w:rsid w:val="003509E5"/>
    <w:rsid w:val="003531AA"/>
    <w:rsid w:val="00353518"/>
    <w:rsid w:val="00362114"/>
    <w:rsid w:val="00362C5B"/>
    <w:rsid w:val="00363955"/>
    <w:rsid w:val="00386E9B"/>
    <w:rsid w:val="0039137A"/>
    <w:rsid w:val="0039429F"/>
    <w:rsid w:val="003A2870"/>
    <w:rsid w:val="003B50C9"/>
    <w:rsid w:val="003B66B0"/>
    <w:rsid w:val="003B7F6D"/>
    <w:rsid w:val="003C0403"/>
    <w:rsid w:val="003C56DB"/>
    <w:rsid w:val="003D3ABF"/>
    <w:rsid w:val="003D49D6"/>
    <w:rsid w:val="003D4A2C"/>
    <w:rsid w:val="003D4C9A"/>
    <w:rsid w:val="003E12B9"/>
    <w:rsid w:val="003E3B77"/>
    <w:rsid w:val="003E5C7E"/>
    <w:rsid w:val="003E633B"/>
    <w:rsid w:val="003E6A50"/>
    <w:rsid w:val="003F02E7"/>
    <w:rsid w:val="003F2AF5"/>
    <w:rsid w:val="003F7139"/>
    <w:rsid w:val="00400C37"/>
    <w:rsid w:val="00401E54"/>
    <w:rsid w:val="00403BA9"/>
    <w:rsid w:val="00412F70"/>
    <w:rsid w:val="00413DB1"/>
    <w:rsid w:val="004153DC"/>
    <w:rsid w:val="0043043C"/>
    <w:rsid w:val="00436B81"/>
    <w:rsid w:val="0043735D"/>
    <w:rsid w:val="0043769D"/>
    <w:rsid w:val="004411AF"/>
    <w:rsid w:val="004456BF"/>
    <w:rsid w:val="004475BC"/>
    <w:rsid w:val="004514EB"/>
    <w:rsid w:val="0045428E"/>
    <w:rsid w:val="00457C2C"/>
    <w:rsid w:val="004806B6"/>
    <w:rsid w:val="00483AF7"/>
    <w:rsid w:val="00487C79"/>
    <w:rsid w:val="00495EF3"/>
    <w:rsid w:val="004973D2"/>
    <w:rsid w:val="004A36C6"/>
    <w:rsid w:val="004A4B50"/>
    <w:rsid w:val="004A6677"/>
    <w:rsid w:val="004A704F"/>
    <w:rsid w:val="004B0AB5"/>
    <w:rsid w:val="004B4BDA"/>
    <w:rsid w:val="004B5FE3"/>
    <w:rsid w:val="004B726F"/>
    <w:rsid w:val="004C1272"/>
    <w:rsid w:val="004C2E9B"/>
    <w:rsid w:val="004C76AC"/>
    <w:rsid w:val="004D1BC5"/>
    <w:rsid w:val="004E5DDB"/>
    <w:rsid w:val="004E6D36"/>
    <w:rsid w:val="004F01B9"/>
    <w:rsid w:val="004F02BF"/>
    <w:rsid w:val="004F2A31"/>
    <w:rsid w:val="004F2C86"/>
    <w:rsid w:val="004F51D7"/>
    <w:rsid w:val="004F554E"/>
    <w:rsid w:val="004F5A4C"/>
    <w:rsid w:val="00502374"/>
    <w:rsid w:val="00503C91"/>
    <w:rsid w:val="005063BC"/>
    <w:rsid w:val="00507C6C"/>
    <w:rsid w:val="00510093"/>
    <w:rsid w:val="00517FCD"/>
    <w:rsid w:val="00521B9D"/>
    <w:rsid w:val="0052427F"/>
    <w:rsid w:val="00530E94"/>
    <w:rsid w:val="00533BB9"/>
    <w:rsid w:val="005365F6"/>
    <w:rsid w:val="00536684"/>
    <w:rsid w:val="00542C7F"/>
    <w:rsid w:val="00556874"/>
    <w:rsid w:val="00556907"/>
    <w:rsid w:val="00556DB0"/>
    <w:rsid w:val="00566EE3"/>
    <w:rsid w:val="005715A3"/>
    <w:rsid w:val="00572285"/>
    <w:rsid w:val="00574845"/>
    <w:rsid w:val="00575653"/>
    <w:rsid w:val="00577E8F"/>
    <w:rsid w:val="00586FC5"/>
    <w:rsid w:val="00590164"/>
    <w:rsid w:val="00596D7B"/>
    <w:rsid w:val="005A0B76"/>
    <w:rsid w:val="005B2566"/>
    <w:rsid w:val="005C5B98"/>
    <w:rsid w:val="005C700C"/>
    <w:rsid w:val="005C7D90"/>
    <w:rsid w:val="005E1DC3"/>
    <w:rsid w:val="005E26E8"/>
    <w:rsid w:val="005E35FA"/>
    <w:rsid w:val="005E38DB"/>
    <w:rsid w:val="005F1737"/>
    <w:rsid w:val="005F24C2"/>
    <w:rsid w:val="005F5316"/>
    <w:rsid w:val="00604277"/>
    <w:rsid w:val="00607DF2"/>
    <w:rsid w:val="00610E5C"/>
    <w:rsid w:val="006157B5"/>
    <w:rsid w:val="00622D18"/>
    <w:rsid w:val="00631FDE"/>
    <w:rsid w:val="00633721"/>
    <w:rsid w:val="00633C01"/>
    <w:rsid w:val="00635B39"/>
    <w:rsid w:val="00636249"/>
    <w:rsid w:val="006402DE"/>
    <w:rsid w:val="0064565A"/>
    <w:rsid w:val="0064661F"/>
    <w:rsid w:val="00647B18"/>
    <w:rsid w:val="00650CAE"/>
    <w:rsid w:val="00657B91"/>
    <w:rsid w:val="00657CB8"/>
    <w:rsid w:val="00660BFA"/>
    <w:rsid w:val="006669FF"/>
    <w:rsid w:val="00667A31"/>
    <w:rsid w:val="006715A2"/>
    <w:rsid w:val="006734B8"/>
    <w:rsid w:val="0068261C"/>
    <w:rsid w:val="00691C2F"/>
    <w:rsid w:val="0069243A"/>
    <w:rsid w:val="006929BE"/>
    <w:rsid w:val="006941A8"/>
    <w:rsid w:val="00697B9A"/>
    <w:rsid w:val="006A67BD"/>
    <w:rsid w:val="006C3EBD"/>
    <w:rsid w:val="006C45F7"/>
    <w:rsid w:val="006C5E41"/>
    <w:rsid w:val="006C6451"/>
    <w:rsid w:val="006E00DC"/>
    <w:rsid w:val="006E29C5"/>
    <w:rsid w:val="006E3C2C"/>
    <w:rsid w:val="006F061C"/>
    <w:rsid w:val="006F265E"/>
    <w:rsid w:val="00717826"/>
    <w:rsid w:val="00730916"/>
    <w:rsid w:val="007344BE"/>
    <w:rsid w:val="007366AC"/>
    <w:rsid w:val="00741088"/>
    <w:rsid w:val="00747277"/>
    <w:rsid w:val="00756142"/>
    <w:rsid w:val="007622F7"/>
    <w:rsid w:val="00780B45"/>
    <w:rsid w:val="00780C52"/>
    <w:rsid w:val="00780D32"/>
    <w:rsid w:val="00781D61"/>
    <w:rsid w:val="0078323F"/>
    <w:rsid w:val="007A494E"/>
    <w:rsid w:val="007A65D0"/>
    <w:rsid w:val="007B301F"/>
    <w:rsid w:val="007B4582"/>
    <w:rsid w:val="007C2EB2"/>
    <w:rsid w:val="007C2ECD"/>
    <w:rsid w:val="007D44F9"/>
    <w:rsid w:val="007F26F9"/>
    <w:rsid w:val="007F2B68"/>
    <w:rsid w:val="007F5380"/>
    <w:rsid w:val="00800FDB"/>
    <w:rsid w:val="008065E2"/>
    <w:rsid w:val="0081096D"/>
    <w:rsid w:val="00811456"/>
    <w:rsid w:val="00816DA8"/>
    <w:rsid w:val="008206CE"/>
    <w:rsid w:val="008248EF"/>
    <w:rsid w:val="008252C9"/>
    <w:rsid w:val="00831062"/>
    <w:rsid w:val="008312C1"/>
    <w:rsid w:val="0083143B"/>
    <w:rsid w:val="00832B68"/>
    <w:rsid w:val="00834D85"/>
    <w:rsid w:val="00837BB5"/>
    <w:rsid w:val="00842289"/>
    <w:rsid w:val="00845B4F"/>
    <w:rsid w:val="00845B82"/>
    <w:rsid w:val="00847A6C"/>
    <w:rsid w:val="00851344"/>
    <w:rsid w:val="00852642"/>
    <w:rsid w:val="008564AC"/>
    <w:rsid w:val="00857AC1"/>
    <w:rsid w:val="0086607E"/>
    <w:rsid w:val="008705B4"/>
    <w:rsid w:val="00875697"/>
    <w:rsid w:val="00876AE6"/>
    <w:rsid w:val="0088459A"/>
    <w:rsid w:val="00892AF5"/>
    <w:rsid w:val="00892C0D"/>
    <w:rsid w:val="00895301"/>
    <w:rsid w:val="00897A46"/>
    <w:rsid w:val="008A209D"/>
    <w:rsid w:val="008C1340"/>
    <w:rsid w:val="008C59B2"/>
    <w:rsid w:val="008D059F"/>
    <w:rsid w:val="008D6EA0"/>
    <w:rsid w:val="00901F3D"/>
    <w:rsid w:val="00902184"/>
    <w:rsid w:val="00905C49"/>
    <w:rsid w:val="00923EAC"/>
    <w:rsid w:val="009275DE"/>
    <w:rsid w:val="00932BCD"/>
    <w:rsid w:val="00933112"/>
    <w:rsid w:val="0093412B"/>
    <w:rsid w:val="009348B7"/>
    <w:rsid w:val="00947159"/>
    <w:rsid w:val="00947291"/>
    <w:rsid w:val="00964F9E"/>
    <w:rsid w:val="00965598"/>
    <w:rsid w:val="009739E2"/>
    <w:rsid w:val="00974D24"/>
    <w:rsid w:val="0097787F"/>
    <w:rsid w:val="00983022"/>
    <w:rsid w:val="00984810"/>
    <w:rsid w:val="009848A7"/>
    <w:rsid w:val="00991184"/>
    <w:rsid w:val="009A058F"/>
    <w:rsid w:val="009A4EE3"/>
    <w:rsid w:val="009B02D2"/>
    <w:rsid w:val="009B0927"/>
    <w:rsid w:val="009B331E"/>
    <w:rsid w:val="009B5B6F"/>
    <w:rsid w:val="009B7F47"/>
    <w:rsid w:val="009C07ED"/>
    <w:rsid w:val="009C0E7A"/>
    <w:rsid w:val="009C4B5E"/>
    <w:rsid w:val="009C52A1"/>
    <w:rsid w:val="009D3A4C"/>
    <w:rsid w:val="009D4A95"/>
    <w:rsid w:val="009E4329"/>
    <w:rsid w:val="009E7E06"/>
    <w:rsid w:val="009F0C68"/>
    <w:rsid w:val="009F3103"/>
    <w:rsid w:val="009F4FC8"/>
    <w:rsid w:val="009F5E57"/>
    <w:rsid w:val="00A026EC"/>
    <w:rsid w:val="00A0561C"/>
    <w:rsid w:val="00A16EC0"/>
    <w:rsid w:val="00A17494"/>
    <w:rsid w:val="00A205AF"/>
    <w:rsid w:val="00A22CB4"/>
    <w:rsid w:val="00A23C14"/>
    <w:rsid w:val="00A360D2"/>
    <w:rsid w:val="00A37097"/>
    <w:rsid w:val="00A41524"/>
    <w:rsid w:val="00A4588D"/>
    <w:rsid w:val="00A46347"/>
    <w:rsid w:val="00A46F77"/>
    <w:rsid w:val="00A5266C"/>
    <w:rsid w:val="00A57658"/>
    <w:rsid w:val="00A65E15"/>
    <w:rsid w:val="00A7179B"/>
    <w:rsid w:val="00A745D0"/>
    <w:rsid w:val="00A76943"/>
    <w:rsid w:val="00A77C0F"/>
    <w:rsid w:val="00A80F1D"/>
    <w:rsid w:val="00A9027B"/>
    <w:rsid w:val="00A91200"/>
    <w:rsid w:val="00A93A85"/>
    <w:rsid w:val="00A95ABB"/>
    <w:rsid w:val="00AA145B"/>
    <w:rsid w:val="00AA1890"/>
    <w:rsid w:val="00AA2466"/>
    <w:rsid w:val="00AA7EDD"/>
    <w:rsid w:val="00AB063A"/>
    <w:rsid w:val="00AB096A"/>
    <w:rsid w:val="00AB1D79"/>
    <w:rsid w:val="00AB61B2"/>
    <w:rsid w:val="00AC6D1A"/>
    <w:rsid w:val="00AD2E2D"/>
    <w:rsid w:val="00AD35C3"/>
    <w:rsid w:val="00AD6B03"/>
    <w:rsid w:val="00AD6FE9"/>
    <w:rsid w:val="00AE295C"/>
    <w:rsid w:val="00AE76F8"/>
    <w:rsid w:val="00AF41CE"/>
    <w:rsid w:val="00AF4E8E"/>
    <w:rsid w:val="00AF62AB"/>
    <w:rsid w:val="00AF6C4A"/>
    <w:rsid w:val="00B00E00"/>
    <w:rsid w:val="00B02C16"/>
    <w:rsid w:val="00B04759"/>
    <w:rsid w:val="00B10461"/>
    <w:rsid w:val="00B12604"/>
    <w:rsid w:val="00B1325B"/>
    <w:rsid w:val="00B14B9B"/>
    <w:rsid w:val="00B15CFE"/>
    <w:rsid w:val="00B20FFE"/>
    <w:rsid w:val="00B22C71"/>
    <w:rsid w:val="00B3098F"/>
    <w:rsid w:val="00B34CC4"/>
    <w:rsid w:val="00B40C21"/>
    <w:rsid w:val="00B45F97"/>
    <w:rsid w:val="00B47AC8"/>
    <w:rsid w:val="00B519D5"/>
    <w:rsid w:val="00B53E3D"/>
    <w:rsid w:val="00B54D3A"/>
    <w:rsid w:val="00B553BF"/>
    <w:rsid w:val="00B7127C"/>
    <w:rsid w:val="00B72FB5"/>
    <w:rsid w:val="00B73FF9"/>
    <w:rsid w:val="00B7502B"/>
    <w:rsid w:val="00B813FE"/>
    <w:rsid w:val="00B852E6"/>
    <w:rsid w:val="00B90415"/>
    <w:rsid w:val="00BA1BA9"/>
    <w:rsid w:val="00BA20F3"/>
    <w:rsid w:val="00BB36F7"/>
    <w:rsid w:val="00BB5A36"/>
    <w:rsid w:val="00BB7B4B"/>
    <w:rsid w:val="00BC7641"/>
    <w:rsid w:val="00BD668D"/>
    <w:rsid w:val="00C04A10"/>
    <w:rsid w:val="00C04BCC"/>
    <w:rsid w:val="00C07496"/>
    <w:rsid w:val="00C1166D"/>
    <w:rsid w:val="00C118F7"/>
    <w:rsid w:val="00C17B7E"/>
    <w:rsid w:val="00C22A8E"/>
    <w:rsid w:val="00C25273"/>
    <w:rsid w:val="00C273ED"/>
    <w:rsid w:val="00C30D45"/>
    <w:rsid w:val="00C35B52"/>
    <w:rsid w:val="00C36336"/>
    <w:rsid w:val="00C367A4"/>
    <w:rsid w:val="00C56D26"/>
    <w:rsid w:val="00C57919"/>
    <w:rsid w:val="00C608BE"/>
    <w:rsid w:val="00C625CB"/>
    <w:rsid w:val="00C63DC3"/>
    <w:rsid w:val="00C663D4"/>
    <w:rsid w:val="00C66935"/>
    <w:rsid w:val="00C72A01"/>
    <w:rsid w:val="00C72B77"/>
    <w:rsid w:val="00C7303E"/>
    <w:rsid w:val="00C76ECE"/>
    <w:rsid w:val="00C8455F"/>
    <w:rsid w:val="00C905FD"/>
    <w:rsid w:val="00C95030"/>
    <w:rsid w:val="00C96EDB"/>
    <w:rsid w:val="00CA3C65"/>
    <w:rsid w:val="00CA48FE"/>
    <w:rsid w:val="00CA4AB0"/>
    <w:rsid w:val="00CB0298"/>
    <w:rsid w:val="00CB61F1"/>
    <w:rsid w:val="00CC7DF4"/>
    <w:rsid w:val="00CD0516"/>
    <w:rsid w:val="00CD1D10"/>
    <w:rsid w:val="00CD720D"/>
    <w:rsid w:val="00CE7299"/>
    <w:rsid w:val="00CF20D1"/>
    <w:rsid w:val="00CF37E7"/>
    <w:rsid w:val="00CF7EC2"/>
    <w:rsid w:val="00D07575"/>
    <w:rsid w:val="00D11EFF"/>
    <w:rsid w:val="00D13357"/>
    <w:rsid w:val="00D13F08"/>
    <w:rsid w:val="00D16907"/>
    <w:rsid w:val="00D17B6C"/>
    <w:rsid w:val="00D3328D"/>
    <w:rsid w:val="00D40283"/>
    <w:rsid w:val="00D43DBE"/>
    <w:rsid w:val="00D75BB4"/>
    <w:rsid w:val="00D75D57"/>
    <w:rsid w:val="00D837D5"/>
    <w:rsid w:val="00D84303"/>
    <w:rsid w:val="00D9135A"/>
    <w:rsid w:val="00D93E52"/>
    <w:rsid w:val="00D951BD"/>
    <w:rsid w:val="00DA2196"/>
    <w:rsid w:val="00DA4AAB"/>
    <w:rsid w:val="00DB02B0"/>
    <w:rsid w:val="00DB2467"/>
    <w:rsid w:val="00DB2A3E"/>
    <w:rsid w:val="00DB6B9D"/>
    <w:rsid w:val="00DC1B63"/>
    <w:rsid w:val="00DC44B6"/>
    <w:rsid w:val="00DC61E1"/>
    <w:rsid w:val="00DD1E3E"/>
    <w:rsid w:val="00DE30A8"/>
    <w:rsid w:val="00DE3A87"/>
    <w:rsid w:val="00DF0D85"/>
    <w:rsid w:val="00DF3BE9"/>
    <w:rsid w:val="00DF5662"/>
    <w:rsid w:val="00DF6832"/>
    <w:rsid w:val="00E01E83"/>
    <w:rsid w:val="00E04942"/>
    <w:rsid w:val="00E05076"/>
    <w:rsid w:val="00E056F3"/>
    <w:rsid w:val="00E230BB"/>
    <w:rsid w:val="00E25A52"/>
    <w:rsid w:val="00E30617"/>
    <w:rsid w:val="00E335FD"/>
    <w:rsid w:val="00E36949"/>
    <w:rsid w:val="00E439ED"/>
    <w:rsid w:val="00E555A9"/>
    <w:rsid w:val="00E60F25"/>
    <w:rsid w:val="00E63056"/>
    <w:rsid w:val="00E73B92"/>
    <w:rsid w:val="00E759CE"/>
    <w:rsid w:val="00E83BCB"/>
    <w:rsid w:val="00E918A3"/>
    <w:rsid w:val="00E93D0E"/>
    <w:rsid w:val="00E963AA"/>
    <w:rsid w:val="00E96CDC"/>
    <w:rsid w:val="00EC1E92"/>
    <w:rsid w:val="00EC54BC"/>
    <w:rsid w:val="00EC5FF4"/>
    <w:rsid w:val="00EC671F"/>
    <w:rsid w:val="00EC77D7"/>
    <w:rsid w:val="00ED134D"/>
    <w:rsid w:val="00ED269C"/>
    <w:rsid w:val="00EE0DF9"/>
    <w:rsid w:val="00EE1732"/>
    <w:rsid w:val="00EE3509"/>
    <w:rsid w:val="00EE4F6E"/>
    <w:rsid w:val="00EF21FA"/>
    <w:rsid w:val="00EF2235"/>
    <w:rsid w:val="00EF4A37"/>
    <w:rsid w:val="00F0201A"/>
    <w:rsid w:val="00F0671B"/>
    <w:rsid w:val="00F06806"/>
    <w:rsid w:val="00F12179"/>
    <w:rsid w:val="00F347AE"/>
    <w:rsid w:val="00F35F9B"/>
    <w:rsid w:val="00F36952"/>
    <w:rsid w:val="00F37924"/>
    <w:rsid w:val="00F40C39"/>
    <w:rsid w:val="00F425C2"/>
    <w:rsid w:val="00F4575D"/>
    <w:rsid w:val="00F526E0"/>
    <w:rsid w:val="00F52A9E"/>
    <w:rsid w:val="00F535D1"/>
    <w:rsid w:val="00F60694"/>
    <w:rsid w:val="00F73BAE"/>
    <w:rsid w:val="00F74A01"/>
    <w:rsid w:val="00F813C1"/>
    <w:rsid w:val="00F84597"/>
    <w:rsid w:val="00F94CB0"/>
    <w:rsid w:val="00FA0F1C"/>
    <w:rsid w:val="00FA5430"/>
    <w:rsid w:val="00FA5F39"/>
    <w:rsid w:val="00FB1B98"/>
    <w:rsid w:val="00FD1D0A"/>
    <w:rsid w:val="00FD1D40"/>
    <w:rsid w:val="00FE527F"/>
    <w:rsid w:val="00FF0462"/>
    <w:rsid w:val="00FF0CEA"/>
    <w:rsid w:val="00FF2412"/>
    <w:rsid w:val="00FF2465"/>
    <w:rsid w:val="00FF5566"/>
    <w:rsid w:val="00FF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2C1"/>
    <w:rPr>
      <w:color w:val="605E5C"/>
      <w:shd w:val="clear" w:color="auto" w:fill="E1DFDD"/>
    </w:rPr>
  </w:style>
  <w:style w:type="character" w:customStyle="1" w:styleId="WW8Num3z1">
    <w:name w:val="WW8Num3z1"/>
    <w:rsid w:val="00353518"/>
    <w:rPr>
      <w:rFonts w:ascii="Courier New" w:hAnsi="Courier New" w:cs="Courier New" w:hint="default"/>
    </w:rPr>
  </w:style>
  <w:style w:type="character" w:customStyle="1" w:styleId="fontstyle01">
    <w:name w:val="fontstyle01"/>
    <w:basedOn w:val="DefaultParagraphFont"/>
    <w:rsid w:val="00A65E15"/>
    <w:rPr>
      <w:rFonts w:ascii="Cambria-Italic" w:hAnsi="Cambria-Italic" w:hint="default"/>
      <w:b w:val="0"/>
      <w:bCs w:val="0"/>
      <w:i/>
      <w:iCs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A65E1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ira">
    <w:name w:val="mira"/>
    <w:basedOn w:val="Normal"/>
    <w:rsid w:val="00B34CC4"/>
    <w:pPr>
      <w:jc w:val="both"/>
    </w:pPr>
    <w:rPr>
      <w:rFonts w:ascii="Dutch" w:hAnsi="Dutch"/>
      <w:sz w:val="22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11A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51D7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C35B52"/>
  </w:style>
  <w:style w:type="character" w:customStyle="1" w:styleId="rynqvb">
    <w:name w:val="rynqvb"/>
    <w:basedOn w:val="DefaultParagraphFont"/>
    <w:rsid w:val="00C35B52"/>
  </w:style>
  <w:style w:type="character" w:customStyle="1" w:styleId="arial12normal1">
    <w:name w:val="arial_12_normal1"/>
    <w:rsid w:val="004F2A31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&#1058;&#1072;&#1073;&#1077;&#1083;&#1077;/&#1058;&#1072;&#1073;&#1077;&#1083;&#1072;%2011.3.%20&#1053;&#1072;&#1091;&#1095;&#1085;&#1086;-&#1089;&#1090;&#1088;&#1091;&#1095;&#1085;&#1077;%20&#1073;&#1072;&#1079;&#1077;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&#1058;&#1072;&#1073;&#1077;&#1083;&#1077;/&#1058;&#1072;&#1073;&#1077;&#1083;&#1072;%2011.2.%20&#1051;&#1080;&#1089;&#1090;&#1072;%20&#1086;&#1087;&#1088;&#1077;&#1084;&#1077;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&#1058;&#1072;&#1073;&#1077;&#1083;&#1077;/&#1058;&#1072;&#1073;&#1077;&#1083;&#1072;%2011.1.%20&#1059;&#1082;&#1091;&#1087;&#1085;&#1072;%20%20&#1087;&#1086;&#1074;&#1088;&#1096;&#1080;&#1085;&#1072;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F6048"/>
    <w:rsid w:val="00034AC5"/>
    <w:rsid w:val="000538A3"/>
    <w:rsid w:val="000B4395"/>
    <w:rsid w:val="000C5303"/>
    <w:rsid w:val="000D6360"/>
    <w:rsid w:val="000F524E"/>
    <w:rsid w:val="00127953"/>
    <w:rsid w:val="001A1CBC"/>
    <w:rsid w:val="001D306E"/>
    <w:rsid w:val="00293A22"/>
    <w:rsid w:val="00336FA2"/>
    <w:rsid w:val="0037640A"/>
    <w:rsid w:val="00377067"/>
    <w:rsid w:val="003B5CAD"/>
    <w:rsid w:val="003D4C9A"/>
    <w:rsid w:val="004F5B32"/>
    <w:rsid w:val="0052427F"/>
    <w:rsid w:val="00533BB9"/>
    <w:rsid w:val="005B6566"/>
    <w:rsid w:val="005F7C64"/>
    <w:rsid w:val="006157B5"/>
    <w:rsid w:val="00667A31"/>
    <w:rsid w:val="007233BB"/>
    <w:rsid w:val="007464EC"/>
    <w:rsid w:val="007A0CEC"/>
    <w:rsid w:val="007B4582"/>
    <w:rsid w:val="008E7F78"/>
    <w:rsid w:val="009458E3"/>
    <w:rsid w:val="009C52A1"/>
    <w:rsid w:val="00A03485"/>
    <w:rsid w:val="00A201F5"/>
    <w:rsid w:val="00A51FB0"/>
    <w:rsid w:val="00A9027B"/>
    <w:rsid w:val="00AE3C91"/>
    <w:rsid w:val="00AE45AD"/>
    <w:rsid w:val="00AF6048"/>
    <w:rsid w:val="00B6403F"/>
    <w:rsid w:val="00B92F17"/>
    <w:rsid w:val="00BB224F"/>
    <w:rsid w:val="00BD1F93"/>
    <w:rsid w:val="00C311ED"/>
    <w:rsid w:val="00CB3748"/>
    <w:rsid w:val="00CB504C"/>
    <w:rsid w:val="00D447C0"/>
    <w:rsid w:val="00D9605F"/>
    <w:rsid w:val="00DF24D2"/>
    <w:rsid w:val="00E54931"/>
    <w:rsid w:val="00E57F8C"/>
    <w:rsid w:val="00EA4E6A"/>
    <w:rsid w:val="00EE2F30"/>
    <w:rsid w:val="00EE54ED"/>
    <w:rsid w:val="00FA7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33FB24-4B88-42A1-AB1A-B7AF39D2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2450</TotalTime>
  <Pages>5</Pages>
  <Words>1199</Words>
  <Characters>7665</Characters>
  <Application>Microsoft Office Word</Application>
  <DocSecurity>0</DocSecurity>
  <Lines>958</Lines>
  <Paragraphs>886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СТАНДАРД 14</vt:lpstr>
    </vt:vector>
  </TitlesOfParts>
  <Company/>
  <LinksUpToDate>false</LinksUpToDate>
  <CharactersWithSpaces>7978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СТАНДАРД 14</dc:title>
  <dc:creator>Sasa</dc:creator>
  <cp:lastModifiedBy>PC</cp:lastModifiedBy>
  <cp:revision>86</cp:revision>
  <cp:lastPrinted>2017-04-30T19:55:00Z</cp:lastPrinted>
  <dcterms:created xsi:type="dcterms:W3CDTF">2025-01-07T10:16:00Z</dcterms:created>
  <dcterms:modified xsi:type="dcterms:W3CDTF">2025-07-18T08:51:00Z</dcterms:modified>
</cp:coreProperties>
</file>