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Look w:val="0000" w:firstRow="0" w:lastRow="0" w:firstColumn="0" w:lastColumn="0" w:noHBand="0" w:noVBand="0"/>
      </w:tblPr>
      <w:tblGrid>
        <w:gridCol w:w="9498"/>
      </w:tblGrid>
      <w:tr w:rsidR="00B01A2D" w:rsidRPr="00C91DBD" w14:paraId="06354935" w14:textId="77777777" w:rsidTr="00E03FFB">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14:paraId="13E6541B" w14:textId="77777777" w:rsidR="00B01A2D" w:rsidRPr="00D12125" w:rsidRDefault="00B01A2D" w:rsidP="00D12125">
            <w:pPr>
              <w:pStyle w:val="Heading1"/>
              <w:spacing w:before="120" w:after="120" w:line="240" w:lineRule="auto"/>
              <w:rPr>
                <w:rFonts w:ascii="Cambria" w:hAnsi="Cambria"/>
                <w:b/>
                <w:color w:val="auto"/>
                <w:sz w:val="28"/>
                <w:szCs w:val="28"/>
              </w:rPr>
            </w:pPr>
            <w:r w:rsidRPr="00D12125">
              <w:rPr>
                <w:rFonts w:ascii="Cambria" w:hAnsi="Cambria"/>
                <w:b/>
                <w:color w:val="auto"/>
                <w:sz w:val="28"/>
                <w:szCs w:val="28"/>
              </w:rPr>
              <w:t>Стандард 4: Kвалитет студијског програма</w:t>
            </w:r>
          </w:p>
        </w:tc>
      </w:tr>
      <w:tr w:rsidR="00B01A2D" w:rsidRPr="00C91DBD" w14:paraId="1184CE0E" w14:textId="77777777" w:rsidTr="00E03FFB">
        <w:tc>
          <w:tcPr>
            <w:tcW w:w="9498" w:type="dxa"/>
            <w:tcBorders>
              <w:top w:val="single" w:sz="12" w:space="0" w:color="000000"/>
              <w:left w:val="single" w:sz="12" w:space="0" w:color="000000"/>
              <w:bottom w:val="single" w:sz="12" w:space="0" w:color="000000"/>
              <w:right w:val="single" w:sz="12" w:space="0" w:color="000000"/>
            </w:tcBorders>
          </w:tcPr>
          <w:p w14:paraId="45462EFA"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 xml:space="preserve">Студијски програм </w:t>
            </w:r>
            <w:r w:rsidRPr="00D12125">
              <w:rPr>
                <w:rFonts w:ascii="Cambria" w:eastAsia="Times New Roman" w:hAnsi="Cambria"/>
                <w:b/>
                <w:lang w:val="ru-RU"/>
              </w:rPr>
              <w:t>Мастер струковни васпитач</w:t>
            </w:r>
            <w:r w:rsidRPr="00C91DBD">
              <w:rPr>
                <w:rFonts w:ascii="Cambria" w:eastAsia="Times New Roman" w:hAnsi="Cambria"/>
                <w:lang w:val="ru-RU"/>
              </w:rPr>
              <w:t xml:space="preserve"> акредитован је 2019. године на основу документације коју је поднела Висока школа струковних студија за образовање васпитача са седиштем у Пироту, ул. Ћирила и Методија бр. 29, сада Одсек Пирот у склопу Академије техничко-васпитачких струковних студија Ниш (Уверење о акредитацији бр. 612-00-00014/6/2018-03 од 21.05.2019.) са допуном одлуке о акредитацији (Допуна уверења бр. 612-00-00014/6/2018-03 од 07.11.2019.) која се односила на проширење броја првоуписаних студената.</w:t>
            </w:r>
          </w:p>
          <w:p w14:paraId="3084F38E"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Студијски програм припада пољу друштвено-хуманистичких наука. Мастер струковни програм за образовање мастер струковног васпитача траје две године. У оквиру четири семестра оптерећење студената износи 120 ЕСП бодова – по 30 у сваком семестру. На недељном нивоу оптерећење студената је: у првом семестру 18 часова активне наставе недељно и 150 сати праксе; у другом семестру 15 часова наставе недељно и 1</w:t>
            </w:r>
            <w:r w:rsidRPr="00C91DBD">
              <w:rPr>
                <w:rFonts w:ascii="Cambria" w:eastAsia="Times New Roman" w:hAnsi="Cambria"/>
              </w:rPr>
              <w:t>5</w:t>
            </w:r>
            <w:r w:rsidRPr="00C91DBD">
              <w:rPr>
                <w:rFonts w:ascii="Cambria" w:eastAsia="Times New Roman" w:hAnsi="Cambria"/>
                <w:lang w:val="ru-RU"/>
              </w:rPr>
              <w:t>0 сати праксе; у трећем семестру 12 часова активне наставе недељно и СИР 1 (20); у четвртом семестру СИР 2 (20).</w:t>
            </w:r>
          </w:p>
          <w:p w14:paraId="7780540B"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организација из окружења..</w:t>
            </w:r>
          </w:p>
          <w:p w14:paraId="11251273"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Прибављају се и повратне информације од послодаваца, Националне службе за запошља</w:t>
            </w:r>
            <w:r w:rsidR="00D12125">
              <w:rPr>
                <w:rFonts w:ascii="Cambria" w:hAnsi="Cambria"/>
              </w:rPr>
              <w:t>-</w:t>
            </w:r>
            <w:r w:rsidRPr="00C91DBD">
              <w:rPr>
                <w:rFonts w:ascii="Cambria" w:hAnsi="Cambria"/>
              </w:rPr>
              <w:t>вање и других одговарајућих организација и привредних друштава о квалитету студија и студијским програмима.</w:t>
            </w:r>
          </w:p>
          <w:p w14:paraId="56418158" w14:textId="77777777" w:rsidR="00D12125" w:rsidRDefault="00B01A2D" w:rsidP="00D12125">
            <w:pPr>
              <w:autoSpaceDE w:val="0"/>
              <w:spacing w:before="120" w:after="0" w:line="240" w:lineRule="auto"/>
              <w:jc w:val="both"/>
              <w:rPr>
                <w:rFonts w:ascii="Cambria" w:hAnsi="Cambria"/>
              </w:rPr>
            </w:pPr>
            <w:r w:rsidRPr="00C91DBD">
              <w:rPr>
                <w:rFonts w:ascii="Cambria" w:hAnsi="Cambria"/>
              </w:rPr>
              <w:t>Обезбеђено је учешће студената у оцењивању и осигурању квалитета студијског програма путем анонимног попуњавања упитника (анкета) и својих представника у Комисији за самовредновање и унутрашње обезбеђење квалитета Одсека Пирот, Наставно-стручном већу Академије и Одсека.</w:t>
            </w:r>
            <w:r w:rsidR="00D12125">
              <w:rPr>
                <w:rFonts w:ascii="Cambria" w:hAnsi="Cambria"/>
              </w:rPr>
              <w:t xml:space="preserve"> </w:t>
            </w:r>
          </w:p>
          <w:p w14:paraId="2A0BF652"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 xml:space="preserve">Садржај студијског програма (МСС) Мастер струковни васпитач усклађен је са садржајима програма одговарајућих високошколских установа из земаља Европске Уније у домену друштвено-хуманистичких наука. Међународној усаглашености студијских програма тежи се приликом конципирања студијског програма у процесу акредитације/реакредитације. Перманентно усавршавање наставних садржаја и њихово усаглашавање са референтним програмима у иностранству, као крајњи исход има упоредивост и хармонизацију студијског програма са курикулумима у иностранству, што омогућава мобилност студената и наставника. </w:t>
            </w:r>
          </w:p>
          <w:p w14:paraId="27F56A1A"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Доступност информација о курикулум студијског програма који садржи називе предмета, фонд часова, број ЕСПБ бодова, предмете по годинама студија и статус предмета, обезбеђена је на сајту Одсека Пирот. Доступне су и електронске верзије појединачних силабуса обавезних и изборних предмета у оквиру студијског програма, са описом циљева и исхода учења, начином оцењивања знања и постигнућа студената и списком литературе за сваки предмет (</w:t>
            </w:r>
            <w:hyperlink r:id="rId5" w:history="1">
              <w:r w:rsidRPr="00C91DBD">
                <w:rPr>
                  <w:rStyle w:val="Hyperlink"/>
                  <w:rFonts w:ascii="Cambria" w:hAnsi="Cambria"/>
                </w:rPr>
                <w:t>Књига предмета</w:t>
              </w:r>
            </w:hyperlink>
            <w:r w:rsidRPr="00C91DBD">
              <w:rPr>
                <w:rFonts w:ascii="Cambria" w:hAnsi="Cambria"/>
              </w:rPr>
              <w:t>).</w:t>
            </w:r>
          </w:p>
          <w:p w14:paraId="0CF437C6" w14:textId="77777777"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 xml:space="preserve">Информације о нивоу образовања и степену високог образовања истакнут је у </w:t>
            </w:r>
            <w:r w:rsidRPr="00C91DBD">
              <w:rPr>
                <w:rFonts w:ascii="Cambria" w:hAnsi="Cambria"/>
                <w:b/>
                <w:bCs/>
              </w:rPr>
              <w:t>Информатору</w:t>
            </w:r>
            <w:r w:rsidRPr="00C91DBD">
              <w:rPr>
                <w:rFonts w:ascii="Cambria" w:hAnsi="Cambria"/>
              </w:rPr>
              <w:t xml:space="preserve"> у облику табеларно приказаних нивоа високог образовања, потребног броја ЕСПБ бодова и могућности за даље школовање. Електронска верзија Информатора доступна је на сајту Одсека</w:t>
            </w:r>
            <w:r w:rsidR="00D12125">
              <w:rPr>
                <w:rFonts w:ascii="Cambria" w:hAnsi="Cambria"/>
              </w:rPr>
              <w:t xml:space="preserve"> </w:t>
            </w:r>
            <w:r w:rsidRPr="00C91DBD">
              <w:rPr>
                <w:rFonts w:ascii="Cambria" w:hAnsi="Cambria"/>
              </w:rPr>
              <w:t>(</w:t>
            </w:r>
            <w:hyperlink r:id="rId6" w:history="1">
              <w:r w:rsidRPr="00C91DBD">
                <w:rPr>
                  <w:rStyle w:val="Hyperlink"/>
                  <w:rFonts w:ascii="Cambria" w:hAnsi="Cambria"/>
                </w:rPr>
                <w:t>Информатор – Струковни мастер васпитач</w:t>
              </w:r>
            </w:hyperlink>
            <w:r w:rsidRPr="00C91DBD">
              <w:rPr>
                <w:rFonts w:ascii="Cambria" w:hAnsi="Cambria"/>
              </w:rPr>
              <w:t>).</w:t>
            </w:r>
          </w:p>
          <w:p w14:paraId="100C4F9E" w14:textId="77777777" w:rsidR="00B01A2D" w:rsidRPr="00D12125" w:rsidRDefault="00B01A2D" w:rsidP="00D12125">
            <w:pPr>
              <w:autoSpaceDE w:val="0"/>
              <w:spacing w:before="120" w:after="0" w:line="240" w:lineRule="auto"/>
              <w:jc w:val="both"/>
              <w:rPr>
                <w:rFonts w:ascii="Cambria" w:eastAsia="Times New Roman" w:hAnsi="Cambria"/>
                <w:lang w:val="ru-RU"/>
              </w:rPr>
            </w:pPr>
            <w:r w:rsidRPr="00C91DBD">
              <w:rPr>
                <w:rFonts w:ascii="Cambria" w:hAnsi="Cambria"/>
              </w:rPr>
              <w:lastRenderedPageBreak/>
              <w:t xml:space="preserve">Студијски програм чине академско-општеобразовни, стручни и стручно-апликативни предмети. У складу са стандардима за школе струковне оријентације, академско-општеобразовни предмети реализују се са 8,45 %. Стручни предмети реализују се са 38,03 %, а стручно-апликативни са 53,52 %. </w:t>
            </w:r>
          </w:p>
          <w:p w14:paraId="43572C13"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Студијски програм предвиђа 4 обавезна и 7 изборних од 14 понуђених изборних предмета, две обавезне стручне праксе и студијски истраживачки рад у трећем и четвртом семестру. Студент бира два изборна предмета из области предмета који се односе на савремене приступе у раду са различитим категоријама деце, два из групе предмета који се односе на игру као водећу активност и три из групе иновативних методичих приступа у васпитно-образовној пракси.</w:t>
            </w:r>
          </w:p>
          <w:p w14:paraId="0242C047" w14:textId="77777777" w:rsidR="00D12125" w:rsidRDefault="00B01A2D" w:rsidP="00E03FFB">
            <w:pPr>
              <w:autoSpaceDE w:val="0"/>
              <w:spacing w:after="60" w:line="240" w:lineRule="auto"/>
              <w:jc w:val="both"/>
              <w:rPr>
                <w:rFonts w:ascii="Cambria" w:hAnsi="Cambria"/>
              </w:rPr>
            </w:pPr>
            <w:r w:rsidRPr="00C91DBD">
              <w:rPr>
                <w:rFonts w:ascii="Cambria" w:hAnsi="Cambria"/>
              </w:rPr>
              <w:t xml:space="preserve">Оптерећеност студената по бодовима која се тиче изборних предмета, усаглашена је са стандардима. Професионална, педагошка специјалистичка пракса студената у дечјим вртићима обавља се у оквиру обавезних предмета Стручно интегративна пракса 1 и Стручно интегративна пракса 2. </w:t>
            </w:r>
          </w:p>
          <w:p w14:paraId="55D7226F" w14:textId="77777777" w:rsidR="00D12125" w:rsidRDefault="00B01A2D" w:rsidP="00E03FFB">
            <w:pPr>
              <w:autoSpaceDE w:val="0"/>
              <w:spacing w:after="60" w:line="240" w:lineRule="auto"/>
              <w:jc w:val="both"/>
              <w:rPr>
                <w:rFonts w:ascii="Cambria" w:hAnsi="Cambria"/>
              </w:rPr>
            </w:pPr>
            <w:r w:rsidRPr="00C91DBD">
              <w:rPr>
                <w:rFonts w:ascii="Cambria" w:hAnsi="Cambria"/>
              </w:rPr>
              <w:t>Kурикулум студијског програма у протекле три године, није имао ниједну измену предмета.</w:t>
            </w:r>
          </w:p>
          <w:p w14:paraId="3950D079" w14:textId="77777777" w:rsidR="00B01A2D" w:rsidRPr="00D12125" w:rsidRDefault="00B01A2D" w:rsidP="00E03FFB">
            <w:pPr>
              <w:autoSpaceDE w:val="0"/>
              <w:spacing w:after="60" w:line="240" w:lineRule="auto"/>
              <w:jc w:val="both"/>
              <w:rPr>
                <w:rFonts w:ascii="Cambria" w:hAnsi="Cambria"/>
              </w:rPr>
            </w:pPr>
            <w:r w:rsidRPr="00C91DBD">
              <w:rPr>
                <w:rFonts w:ascii="Cambria" w:hAnsi="Cambria"/>
              </w:rPr>
              <w:t>По завршетку мастер струковних студија на студијском програму Струковни мастер васпитач студенти стичу следеће компетенције:</w:t>
            </w:r>
          </w:p>
          <w:p w14:paraId="6C5A7BC2"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из методологије, педагогије, психологије и методика у циљу вршења истра</w:t>
            </w:r>
            <w:r w:rsidR="00D12125">
              <w:rPr>
                <w:rFonts w:ascii="Cambria" w:hAnsi="Cambria"/>
              </w:rPr>
              <w:t>-</w:t>
            </w:r>
            <w:r w:rsidRPr="00C91DBD">
              <w:rPr>
                <w:rFonts w:ascii="Cambria" w:hAnsi="Cambria"/>
              </w:rPr>
              <w:t>живања и коришћења истраживачких метода у васпитно-образовном раду,</w:t>
            </w:r>
          </w:p>
          <w:p w14:paraId="664ABE74"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која се односе на координацију рада са децом са развојним сметњама и на системе подстицања креативног изражавања,</w:t>
            </w:r>
          </w:p>
          <w:p w14:paraId="5C796771"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трансформисања и моделовања садржаја, активности и метода из различитих методика у циљу конструисања интегративног курикулума,</w:t>
            </w:r>
          </w:p>
          <w:p w14:paraId="38824B31"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уочавања проблема или потребе за променама, планирања промена, организовања тима и адекватних услова за спровођење промена, координирања појединачним активностима у оквиру тима, израђивања плана акције и, на основу објективних могућности, обезбеђивања неопходних услова за његово спровођење,</w:t>
            </w:r>
          </w:p>
          <w:p w14:paraId="798B7B47"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 планирања, пројектовања, израде, примене и вредновања отвореног модела курикулума за васпитно-образовни рад на основу интегрисаног и холистичког приступа,</w:t>
            </w:r>
          </w:p>
          <w:p w14:paraId="770542E2"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компетенције за решавање актуелних проблема на које наилазе у васпитно-образовној пракси,</w:t>
            </w:r>
          </w:p>
          <w:p w14:paraId="1FE3CE1E"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континуираног мониторинга и евалуације примене стандарда квалитета,</w:t>
            </w:r>
          </w:p>
          <w:p w14:paraId="01670BAD"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вештина комуникације и способност саопштавања аналитичко-истраживачких резултата из домена организације васпитно-образовног рада,</w:t>
            </w:r>
          </w:p>
          <w:p w14:paraId="693796DB"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и вештине за стварање позитивне атмосфере у тимском раду у циљу унапређивања ефикасности и квалитета васпитно-образовног рада,</w:t>
            </w:r>
          </w:p>
          <w:p w14:paraId="14A33371"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 xml:space="preserve">знања и вештине о професионалној етици васпитача и његовом активном доприносу развоју друштвене заједнице. </w:t>
            </w:r>
          </w:p>
          <w:p w14:paraId="53F939DC"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организације, мотивације и укључивања колега-васпитача и других професионалаца у васпитно-образовни рад,</w:t>
            </w:r>
          </w:p>
          <w:p w14:paraId="1B2D9586" w14:textId="77777777"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руковођења, управљања људским ресурсима, вођења и вредновања рада, планирања, делегирања задатака.</w:t>
            </w:r>
          </w:p>
          <w:p w14:paraId="3ECDFF09" w14:textId="77777777" w:rsidR="00B01A2D" w:rsidRPr="00C91DBD" w:rsidRDefault="00B01A2D" w:rsidP="00E03FFB">
            <w:pPr>
              <w:autoSpaceDE w:val="0"/>
              <w:spacing w:after="60" w:line="240" w:lineRule="auto"/>
              <w:jc w:val="both"/>
              <w:rPr>
                <w:rFonts w:ascii="Cambria" w:hAnsi="Cambria"/>
              </w:rPr>
            </w:pPr>
            <w:hyperlink r:id="rId7" w:history="1">
              <w:r w:rsidRPr="00C91DBD">
                <w:rPr>
                  <w:rStyle w:val="Hyperlink"/>
                  <w:rFonts w:ascii="Cambria" w:hAnsi="Cambria"/>
                </w:rPr>
                <w:t xml:space="preserve">Правилником о мастер струковним студијама, пријави припреми и одбрани завршног </w:t>
              </w:r>
              <w:r w:rsidRPr="00C91DBD">
                <w:rPr>
                  <w:rStyle w:val="Hyperlink"/>
                  <w:rFonts w:ascii="Cambria" w:hAnsi="Cambria"/>
                </w:rPr>
                <w:lastRenderedPageBreak/>
                <w:t>мастер рада</w:t>
              </w:r>
            </w:hyperlink>
            <w:r w:rsidRPr="00C91DBD">
              <w:rPr>
                <w:rFonts w:ascii="Cambria" w:hAnsi="Cambria"/>
              </w:rPr>
              <w:t xml:space="preserve"> студенти су упознати са организацијом мастер струковних студијама, уписом, обавезама у току студија, као и дефинисаним захтевима које завршни мастер рад треба да испуни, посебно у погледу методологије, формалних аспеката, практичне оријентације и критеријума оцењивања.</w:t>
            </w:r>
          </w:p>
          <w:p w14:paraId="7FBDCF70"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Завршни рад представља истраживачки рад студента у којем студент примењује раније стечена, али и нова сазнања из области предшколског васпитања и образовања и методологије истраживања у васпитно-образовном раду. Тема завршног мастер рада се бира искључиво тако да буде усмерена према решавању конкретних проблема праксе.</w:t>
            </w:r>
          </w:p>
          <w:p w14:paraId="2FCBED5B"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Мастер струковне студије може да упише лице које је завршетком студија првог степена струковних студија остварило најмање 180 ЕСПБ бодова, односно лице које је завршило студије по прописима који су важили пре доношења Закона о високом образовању, под условом да је тад диплома најмање еквивалентна дипломи основних струковних студија у складу са Законом. Упис на мастер струковне студије се врши на начин и по поступку прописаним конкурсом а у складу са Законом. Конкурс за упис мастер струковних студија је јавно доступан и садржи све релевантне информације потребне за пријављивање кандидата (услове уписа, број кандидата, потребну документацију и др.). Комплетна процедура уписа на мастер струковне студије је уређена </w:t>
            </w:r>
            <w:hyperlink r:id="rId8" w:history="1">
              <w:r w:rsidRPr="00C91DBD">
                <w:rPr>
                  <w:rStyle w:val="Hyperlink"/>
                  <w:rFonts w:ascii="Cambria" w:hAnsi="Cambria"/>
                </w:rPr>
                <w:t>Правилником о студијама.</w:t>
              </w:r>
            </w:hyperlink>
          </w:p>
          <w:p w14:paraId="3D5D84AA"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У реализацији наставних садржаја предмета у оквиру студијског програма перманентно се успоставља склад између наставних метода, исхода учења и критеријума оцењивања. У настави се користе методе усменог излагања, дискусије, симулације, демонстрације, студије случаја, вежбеи др. Студенти континуирано прате и усвајају наставне садржаје и активно учествују на предавањима, вежбама, у изради и презентовању задатака и семинарских радова. Начин провере усвојеног знања зависи од специфичности материје која је обухваћена појединим предметом. У току семестра стечено знање проверава се уобичајено на колоквијумима (стечена знања на појединим предметима се проверавају кроз квалитет и квантитет рада), а усвојено знање појединих предмета на завршном испиту који се полаже усмено, писмено односно практично. </w:t>
            </w:r>
          </w:p>
          <w:p w14:paraId="47B747F9"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Процена постигнутог нивоа знања врши се кроз анализу просечног трајања студија, стопе одустајања од студија, просечне оцене студирања, пролазности и процента завршеткашколовања.</w:t>
            </w:r>
          </w:p>
          <w:p w14:paraId="5D50E99B"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Сви предмети у оквиру програма имају дефинисане </w:t>
            </w:r>
            <w:hyperlink r:id="rId9" w:history="1">
              <w:r w:rsidRPr="00061374">
                <w:rPr>
                  <w:rStyle w:val="Hyperlink"/>
                  <w:rFonts w:ascii="Cambria" w:hAnsi="Cambria"/>
                  <w:b/>
                  <w:bCs/>
                </w:rPr>
                <w:t>процене постигнућа</w:t>
              </w:r>
            </w:hyperlink>
            <w:r w:rsidRPr="00C91DBD">
              <w:rPr>
                <w:rFonts w:ascii="Cambria" w:hAnsi="Cambria"/>
              </w:rPr>
              <w:t xml:space="preserve"> студената, у вези са постизањем предвиђених исхода учења.</w:t>
            </w:r>
          </w:p>
          <w:p w14:paraId="041ECA76" w14:textId="77777777" w:rsidR="00B01A2D" w:rsidRPr="00C91DBD" w:rsidRDefault="00B01A2D" w:rsidP="00E03FFB">
            <w:pPr>
              <w:autoSpaceDE w:val="0"/>
              <w:spacing w:after="60" w:line="240" w:lineRule="auto"/>
              <w:jc w:val="both"/>
              <w:rPr>
                <w:rFonts w:ascii="Cambria" w:hAnsi="Cambria"/>
                <w:b/>
                <w:bCs/>
              </w:rPr>
            </w:pPr>
            <w:r w:rsidRPr="00C91DBD">
              <w:rPr>
                <w:rFonts w:ascii="Cambria" w:hAnsi="Cambria"/>
              </w:rPr>
              <w:t>Описана је стратегија и коришћене методе којима се проверава постизање исхода учења. На примеру обавезног предмета</w:t>
            </w:r>
            <w:r w:rsidR="00061374">
              <w:rPr>
                <w:rFonts w:ascii="Cambria" w:hAnsi="Cambria"/>
              </w:rPr>
              <w:t xml:space="preserve"> </w:t>
            </w:r>
            <w:r w:rsidRPr="00061374">
              <w:rPr>
                <w:rFonts w:ascii="Cambria" w:hAnsi="Cambria"/>
                <w:b/>
                <w:bCs/>
              </w:rPr>
              <w:t>„</w:t>
            </w:r>
            <w:hyperlink r:id="rId10" w:history="1">
              <w:r w:rsidRPr="00061374">
                <w:rPr>
                  <w:rStyle w:val="Hyperlink"/>
                  <w:rFonts w:ascii="Cambria" w:hAnsi="Cambria"/>
                  <w:b/>
                  <w:bCs/>
                </w:rPr>
                <w:t>Развојно-динамска психологија</w:t>
              </w:r>
            </w:hyperlink>
            <w:r w:rsidRPr="00061374">
              <w:rPr>
                <w:rFonts w:ascii="Cambria" w:hAnsi="Cambria"/>
                <w:b/>
                <w:bCs/>
              </w:rPr>
              <w:t>“</w:t>
            </w:r>
            <w:r w:rsidRPr="00C91DBD">
              <w:rPr>
                <w:rFonts w:ascii="Cambria" w:hAnsi="Cambria"/>
              </w:rPr>
              <w:t xml:space="preserve">детаљно је описано време проведено на активностима које воде наставници и сарадници, време проведено у самосталном раду (припрема семинарског рада), време потребно за припрему провере знање и проверу знања (колоквијуми и испит) кроз удео свих ових активности у укупној вредности ЕСПБ. Као помоћ за стицање увида у то како су програмски исходи учења покривени у оквиру обавезних предмета који су дефинисани програмом, израђено је </w:t>
            </w:r>
            <w:hyperlink r:id="rId11" w:history="1">
              <w:r w:rsidRPr="00061374">
                <w:rPr>
                  <w:rStyle w:val="Hyperlink"/>
                  <w:rFonts w:ascii="Cambria" w:hAnsi="Cambria"/>
                  <w:b/>
                  <w:bCs/>
                </w:rPr>
                <w:t>мапирање предмета</w:t>
              </w:r>
            </w:hyperlink>
            <w:r w:rsidRPr="00061374">
              <w:rPr>
                <w:rFonts w:ascii="Cambria" w:hAnsi="Cambria"/>
                <w:b/>
                <w:bCs/>
              </w:rPr>
              <w:t>.</w:t>
            </w:r>
          </w:p>
          <w:p w14:paraId="2C49BA9B" w14:textId="77777777" w:rsidR="00B3580B" w:rsidRPr="00AE1F39" w:rsidRDefault="00B3580B" w:rsidP="00B3580B">
            <w:pPr>
              <w:autoSpaceDE w:val="0"/>
              <w:spacing w:after="60" w:line="240" w:lineRule="auto"/>
              <w:jc w:val="both"/>
              <w:rPr>
                <w:rFonts w:ascii="Times New Roman" w:hAnsi="Times New Roman"/>
              </w:rPr>
            </w:pPr>
            <w:r w:rsidRPr="00AE1F39">
              <w:rPr>
                <w:rFonts w:ascii="Times New Roman" w:hAnsi="Times New Roman"/>
              </w:rPr>
              <w:t>У процесу самовредновања учествују дипломирани студенти (ОСС и МСС) који оцењ</w:t>
            </w:r>
            <w:r>
              <w:rPr>
                <w:rFonts w:ascii="Times New Roman" w:hAnsi="Times New Roman"/>
              </w:rPr>
              <w:t>ују</w:t>
            </w:r>
            <w:r w:rsidRPr="00AE1F39">
              <w:rPr>
                <w:rFonts w:ascii="Times New Roman" w:hAnsi="Times New Roman"/>
              </w:rPr>
              <w:t xml:space="preserve"> квалитет студија и студијског програма (</w:t>
            </w:r>
            <w:hyperlink r:id="rId12" w:history="1">
              <w:r w:rsidRPr="006404F1">
                <w:rPr>
                  <w:rStyle w:val="Hyperlink"/>
                </w:rPr>
                <w:t>Прилог 4.1</w:t>
              </w:r>
            </w:hyperlink>
            <w:r w:rsidRPr="00AE1F39">
              <w:rPr>
                <w:rFonts w:ascii="Times New Roman" w:hAnsi="Times New Roman"/>
              </w:rPr>
              <w:t xml:space="preserve">). У складу са Акционим планом за спровођење стратегије за обезбеђивање квалитета  дипломирани студенти оцењују квалитет наставе и стечена знања током студија – процена студијског програма за студенте који су дипломирали </w:t>
            </w:r>
            <w:r w:rsidRPr="006404F1">
              <w:rPr>
                <w:rFonts w:ascii="Times New Roman" w:hAnsi="Times New Roman"/>
              </w:rPr>
              <w:t>(стандарди 4. и 5).</w:t>
            </w:r>
          </w:p>
          <w:p w14:paraId="23888674" w14:textId="77777777" w:rsidR="00B3580B" w:rsidRPr="00FB4AD4" w:rsidRDefault="00B3580B" w:rsidP="00B3580B">
            <w:pPr>
              <w:autoSpaceDE w:val="0"/>
              <w:spacing w:after="60" w:line="240" w:lineRule="auto"/>
              <w:jc w:val="both"/>
              <w:rPr>
                <w:rFonts w:ascii="Times New Roman" w:hAnsi="Times New Roman"/>
              </w:rPr>
            </w:pPr>
            <w:r w:rsidRPr="00AE1F39">
              <w:rPr>
                <w:rFonts w:ascii="Times New Roman" w:hAnsi="Times New Roman"/>
              </w:rPr>
              <w:t xml:space="preserve">Упитник којим дипломирани студенти процењују квалитет наставе и своја стечена знања и компетенције за рад са децом предшколског узраста састоји се од 13 ајтема који се процењују у распону од 1 до 5. </w:t>
            </w:r>
          </w:p>
          <w:p w14:paraId="479AE82E" w14:textId="77777777" w:rsidR="00B3580B" w:rsidRDefault="00B3580B" w:rsidP="00B3580B">
            <w:pPr>
              <w:autoSpaceDE w:val="0"/>
              <w:spacing w:after="60" w:line="240" w:lineRule="auto"/>
              <w:jc w:val="both"/>
              <w:rPr>
                <w:rFonts w:ascii="Times New Roman" w:hAnsi="Times New Roman"/>
              </w:rPr>
            </w:pPr>
            <w:r w:rsidRPr="00AE1F39">
              <w:rPr>
                <w:rFonts w:ascii="Times New Roman" w:hAnsi="Times New Roman"/>
              </w:rPr>
              <w:lastRenderedPageBreak/>
              <w:t>У процесу самовредновања дипломираних студената (2021/22) студенти су високо оценили квалитет наставе и студијског програма (4,85), опремљеност Одсека савременим наставним средствима (4,82), библиотечки фонд (4,93), квалитет ментора (4,93). Од укупног броја анкетираних студената 61,7% је одговорио да им је студирање у овој школи пружило много више од очекиваног.</w:t>
            </w:r>
          </w:p>
          <w:p w14:paraId="1CCA16F6" w14:textId="77777777" w:rsidR="00B3580B" w:rsidRDefault="00B3580B" w:rsidP="00B3580B">
            <w:pPr>
              <w:autoSpaceDE w:val="0"/>
              <w:spacing w:after="60" w:line="240" w:lineRule="auto"/>
              <w:jc w:val="both"/>
              <w:rPr>
                <w:rFonts w:ascii="Times New Roman" w:hAnsi="Times New Roman"/>
              </w:rPr>
            </w:pPr>
            <w:r>
              <w:rPr>
                <w:rFonts w:ascii="Times New Roman" w:hAnsi="Times New Roman"/>
              </w:rPr>
              <w:t xml:space="preserve">Дипломирани студенти (2022/23) </w:t>
            </w:r>
            <w:r w:rsidRPr="002004BF">
              <w:rPr>
                <w:rFonts w:ascii="Times New Roman" w:hAnsi="Times New Roman"/>
              </w:rPr>
              <w:t>су изузетно високим оценама оценили квалитет наставе (4,83), вредност предавања и вежби (4,93), стечена теоријска знања (4,88), стечена практична знања (4,67). Опремљеност савременим наставним средствима оцењена је просечном оценом 4,83, рад студентског парламента оценом 4,62, библиотечки фонд оценом 4,88. Стечене компетенције омогућавају самосталан рад дипломираних студената (4,91) а студијски програми пружају довољно знања за наставак стручног усавршавања (4,89). Ангажовање ментора је оцењено просечном оценом 4,98. На основу датих изјава, похваљена је идеја о отварању васпитне групе у Одсеку, али и да је потребно посветити више пажње стицању практичних знања.</w:t>
            </w:r>
          </w:p>
          <w:p w14:paraId="0FDFA493" w14:textId="77777777" w:rsidR="00B3580B" w:rsidRPr="00AE1F39" w:rsidRDefault="00B3580B" w:rsidP="00B3580B">
            <w:pPr>
              <w:autoSpaceDE w:val="0"/>
              <w:spacing w:after="60" w:line="240" w:lineRule="auto"/>
              <w:jc w:val="both"/>
              <w:rPr>
                <w:rFonts w:ascii="Times New Roman" w:hAnsi="Times New Roman"/>
              </w:rPr>
            </w:pPr>
            <w:r>
              <w:rPr>
                <w:rFonts w:ascii="Times New Roman" w:hAnsi="Times New Roman"/>
              </w:rPr>
              <w:t xml:space="preserve">Дипломирани студенти (2023/24) </w:t>
            </w:r>
            <w:r w:rsidRPr="00AC18D6">
              <w:rPr>
                <w:rFonts w:ascii="Times New Roman" w:hAnsi="Times New Roman"/>
              </w:rPr>
              <w:t>су изузетно високим оценама оценили квалитет наставе (4,90), вредност предавања и вежби (4,90), стечена теоријска знања (4,92), стечена практична знања (4,83). Опремљеност савременим наставним средствима оцењена је просечном оценом 4,87, рад студентског парламента оценом 4,85, библиотечки фонд оценом 4,92, сајт и друштвене мреже оценом 4,96. Стечене компетенције омогућавају самосталан рад дипломираних студената (4,94) а студијски програми пружају довољно знања за наставак стручног усавршавања (4,96). Ангажовање ментора је оцењено просечном оценом 4,96.</w:t>
            </w:r>
          </w:p>
          <w:p w14:paraId="11B960A4" w14:textId="77777777" w:rsidR="00B3580B" w:rsidRDefault="00B3580B" w:rsidP="00B3580B">
            <w:pPr>
              <w:autoSpaceDE w:val="0"/>
              <w:spacing w:after="60" w:line="240" w:lineRule="auto"/>
              <w:jc w:val="both"/>
              <w:rPr>
                <w:rFonts w:ascii="Times New Roman" w:hAnsi="Times New Roman"/>
              </w:rPr>
            </w:pPr>
            <w:r w:rsidRPr="002466DA">
              <w:rPr>
                <w:rFonts w:ascii="Times New Roman" w:hAnsi="Times New Roman"/>
              </w:rPr>
              <w:t xml:space="preserve">Поред анкетирања студената, узимају се у обзир и мишљења послодаваца о компетенцијама свршених студената кроз анкетирање послодаваца о стеченим квалификацијама свршених студената. Послодавци који попуњавају анкету имају макар једног дипломираног студента са Академије који обавља посао у струци. Поред тога, анкету попуњавају и послодавци који на стручној пракси имају студенте завршних година основних и мастер студија, као и послодавци где нема запослених студената, али су њихова мишљења релевантна за будуће запошљавање студената. </w:t>
            </w:r>
          </w:p>
          <w:p w14:paraId="0FBD20C3"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Одсек Пирот има добру сарадњу са предшколским установама у којима су запослени студенти овог студијског програма. У Одсеку Пирот је према уговору о пословно-техничкој сарадњи оформљена стручна база</w:t>
            </w:r>
            <w:r w:rsidR="003D1457">
              <w:rPr>
                <w:rFonts w:ascii="Cambria" w:hAnsi="Cambria"/>
              </w:rPr>
              <w:t xml:space="preserve"> </w:t>
            </w:r>
            <w:r w:rsidRPr="00C91DBD">
              <w:rPr>
                <w:rFonts w:ascii="Cambria" w:hAnsi="Cambria"/>
              </w:rPr>
              <w:t xml:space="preserve">ПУ „Чика Јова Змај“. </w:t>
            </w:r>
          </w:p>
          <w:p w14:paraId="659EA09F" w14:textId="77777777" w:rsidR="00B01A2D" w:rsidRPr="00C91DBD" w:rsidRDefault="00B01A2D" w:rsidP="00E03FFB">
            <w:pPr>
              <w:autoSpaceDE w:val="0"/>
              <w:spacing w:after="60" w:line="240" w:lineRule="auto"/>
              <w:jc w:val="both"/>
              <w:rPr>
                <w:rFonts w:ascii="Cambria" w:hAnsi="Cambria"/>
              </w:rPr>
            </w:pPr>
            <w:r w:rsidRPr="00C91DBD">
              <w:rPr>
                <w:rFonts w:ascii="Cambria" w:hAnsi="Cambria"/>
              </w:rPr>
              <w:t>Потребно је интензивирати комуникацију са свршеним студентима овог студијског програ</w:t>
            </w:r>
            <w:r w:rsidR="003D1457">
              <w:rPr>
                <w:rFonts w:ascii="Cambria" w:hAnsi="Cambria"/>
              </w:rPr>
              <w:t>-</w:t>
            </w:r>
            <w:r w:rsidRPr="00C91DBD">
              <w:rPr>
                <w:rFonts w:ascii="Cambria" w:hAnsi="Cambria"/>
              </w:rPr>
              <w:t xml:space="preserve">ма, пре свега преко Алумни клуба, али и кроз директну комуникацију тих студената са наставницима и сарадницима на овом програму. </w:t>
            </w:r>
          </w:p>
        </w:tc>
      </w:tr>
      <w:tr w:rsidR="00B01A2D" w:rsidRPr="00C91DBD" w14:paraId="3A53FD2D" w14:textId="77777777" w:rsidTr="00E03FFB">
        <w:trPr>
          <w:trHeight w:val="963"/>
        </w:trPr>
        <w:tc>
          <w:tcPr>
            <w:tcW w:w="9498" w:type="dxa"/>
            <w:tcBorders>
              <w:top w:val="single" w:sz="12" w:space="0" w:color="000000"/>
              <w:left w:val="single" w:sz="12" w:space="0" w:color="000000"/>
              <w:bottom w:val="single" w:sz="12" w:space="0" w:color="000000"/>
              <w:right w:val="single" w:sz="12" w:space="0" w:color="000000"/>
            </w:tcBorders>
          </w:tcPr>
          <w:p w14:paraId="2EE19DD8" w14:textId="77777777"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lastRenderedPageBreak/>
              <w:t xml:space="preserve">SWОТ анализа </w:t>
            </w:r>
          </w:p>
          <w:p w14:paraId="20712822" w14:textId="77777777"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 xml:space="preserve">S – (Strenght): Предности </w:t>
            </w:r>
          </w:p>
          <w:p w14:paraId="301D70D3"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Јавно доступне информације о студијским програмима и исходима учења +++</w:t>
            </w:r>
          </w:p>
          <w:p w14:paraId="747E2BA3"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Искуство у образовању васпитача +++ </w:t>
            </w:r>
          </w:p>
          <w:p w14:paraId="275CF604"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Књига предмета дефинише садржај и начин извођења предавања, вежбии праксе ++ +</w:t>
            </w:r>
          </w:p>
          <w:p w14:paraId="3456BD36"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Јасан систем оцењивања који је заснован на мерењу исхода учења ++ </w:t>
            </w:r>
          </w:p>
          <w:p w14:paraId="7EA59E93"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Дефинисани поступци праћења квалитета студијског програма ++ </w:t>
            </w:r>
          </w:p>
          <w:p w14:paraId="32C16510"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Поступак добављања повратних информација од послодаваца о свршеним студентима и њиховим компетенцијама +++ </w:t>
            </w:r>
          </w:p>
          <w:p w14:paraId="404EF3CC"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Континуирано осавремењивање студијских програма у складу са структуром студијских програма у развијеним европским земљама ++</w:t>
            </w:r>
          </w:p>
          <w:p w14:paraId="2FEBC2E9" w14:textId="77777777"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Информације о студијским програмима и исходима учења доступни су јавности на сајту Одсека +++ </w:t>
            </w:r>
          </w:p>
          <w:p w14:paraId="02A12A68" w14:textId="77777777"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W – (Weakness): Слабости</w:t>
            </w:r>
          </w:p>
          <w:p w14:paraId="7BE48F60" w14:textId="77777777"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t>Пасивност одређеног броја наставника ++</w:t>
            </w:r>
          </w:p>
          <w:p w14:paraId="0A5D4D8B" w14:textId="77777777"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lastRenderedPageBreak/>
              <w:t xml:space="preserve">Формално успостављен алумни клуб ++++ </w:t>
            </w:r>
          </w:p>
          <w:p w14:paraId="387474AF" w14:textId="77777777"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t>Недостатак поузданих повратних информација од стране послодаваца, НСЗ о квалитету студија, студијских програма и компетенција студената ++</w:t>
            </w:r>
          </w:p>
          <w:p w14:paraId="66AD3756" w14:textId="77777777"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О – (Оpportunities): Могућности</w:t>
            </w:r>
          </w:p>
          <w:p w14:paraId="1E30CF50" w14:textId="77777777" w:rsidR="00B01A2D" w:rsidRPr="00C91DBD" w:rsidRDefault="00B01A2D" w:rsidP="00E03FFB">
            <w:pPr>
              <w:widowControl w:val="0"/>
              <w:numPr>
                <w:ilvl w:val="0"/>
                <w:numId w:val="3"/>
              </w:numPr>
              <w:autoSpaceDE w:val="0"/>
              <w:spacing w:after="0" w:line="240" w:lineRule="auto"/>
              <w:jc w:val="both"/>
              <w:rPr>
                <w:rFonts w:ascii="Cambria" w:hAnsi="Cambria"/>
              </w:rPr>
            </w:pPr>
            <w:r w:rsidRPr="00C91DBD">
              <w:rPr>
                <w:rFonts w:ascii="Cambria" w:hAnsi="Cambria"/>
              </w:rPr>
              <w:t>Постојање стручног потенцијала да се обогате садржаји студијских програма +++</w:t>
            </w:r>
          </w:p>
          <w:p w14:paraId="518DE735" w14:textId="77777777" w:rsidR="00B01A2D" w:rsidRPr="00C91DBD" w:rsidRDefault="00B01A2D" w:rsidP="00E03FFB">
            <w:pPr>
              <w:widowControl w:val="0"/>
              <w:numPr>
                <w:ilvl w:val="0"/>
                <w:numId w:val="3"/>
              </w:numPr>
              <w:autoSpaceDE w:val="0"/>
              <w:spacing w:after="0" w:line="240" w:lineRule="auto"/>
              <w:jc w:val="both"/>
              <w:rPr>
                <w:rFonts w:ascii="Cambria" w:hAnsi="Cambria"/>
              </w:rPr>
            </w:pPr>
            <w:r w:rsidRPr="00C91DBD">
              <w:rPr>
                <w:rFonts w:ascii="Cambria" w:hAnsi="Cambria"/>
              </w:rPr>
              <w:t xml:space="preserve">Усклађеност циљева студијских програма и исхода учења са захтевима тржишта рада ++ </w:t>
            </w:r>
          </w:p>
          <w:p w14:paraId="4BEBD078" w14:textId="77777777" w:rsidR="00B01A2D" w:rsidRPr="00C91DBD" w:rsidRDefault="00B01A2D" w:rsidP="00E03FFB">
            <w:pPr>
              <w:widowControl w:val="0"/>
              <w:numPr>
                <w:ilvl w:val="0"/>
                <w:numId w:val="3"/>
              </w:numPr>
              <w:autoSpaceDE w:val="0"/>
              <w:spacing w:after="0" w:line="240" w:lineRule="auto"/>
              <w:jc w:val="both"/>
              <w:rPr>
                <w:rFonts w:ascii="Cambria" w:hAnsi="Cambria"/>
                <w:b/>
                <w:bCs/>
              </w:rPr>
            </w:pPr>
            <w:r w:rsidRPr="00C91DBD">
              <w:rPr>
                <w:rFonts w:ascii="Cambria" w:hAnsi="Cambria"/>
              </w:rPr>
              <w:t>Укључивање већег броја студената и наставника у Еразмус пројекте који се односе на размену са високошколским установама у иностранству +++</w:t>
            </w:r>
          </w:p>
          <w:p w14:paraId="30A95ADF" w14:textId="77777777"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Т – (Threats): Опасности</w:t>
            </w:r>
          </w:p>
          <w:p w14:paraId="6C0FD73B" w14:textId="77777777"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Присуство приватних високошколских установа +++ </w:t>
            </w:r>
          </w:p>
          <w:p w14:paraId="36C0D172" w14:textId="77777777"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Присуство истурених одељења других високошколских установа ++ </w:t>
            </w:r>
          </w:p>
          <w:p w14:paraId="1E2FC22E" w14:textId="77777777"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Висока стопа незапослености +++ </w:t>
            </w:r>
          </w:p>
          <w:p w14:paraId="2939284B" w14:textId="77777777"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Релативно низак ниво зарада у Пиротском округу ++ </w:t>
            </w:r>
          </w:p>
          <w:p w14:paraId="10CB86F6" w14:textId="77777777" w:rsidR="00B01A2D" w:rsidRPr="00C91DBD" w:rsidRDefault="00B01A2D" w:rsidP="00E03FFB">
            <w:pPr>
              <w:widowControl w:val="0"/>
              <w:autoSpaceDE w:val="0"/>
              <w:spacing w:after="0" w:line="240" w:lineRule="auto"/>
              <w:jc w:val="both"/>
              <w:rPr>
                <w:rFonts w:ascii="Cambria" w:hAnsi="Cambria"/>
              </w:rPr>
            </w:pPr>
            <w:r w:rsidRPr="00C91DBD">
              <w:rPr>
                <w:rFonts w:ascii="Cambria" w:hAnsi="Cambria"/>
              </w:rPr>
              <w:t xml:space="preserve">Предлог мера и активности за унапређење квалитета Стандарда 4: </w:t>
            </w:r>
          </w:p>
          <w:p w14:paraId="6B054A4E"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Иновирање садржаја курикулума појединих предмета у складу са савременим светским токовима и стањем науке у области студијских програма и потребама праксе кроз побољшање процедура и поступака праћења квалитета студијских програма; </w:t>
            </w:r>
          </w:p>
          <w:p w14:paraId="4500825B"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Израда стратегије краткорочног и дугорочног развоја студијских програма;</w:t>
            </w:r>
          </w:p>
          <w:p w14:paraId="3F95A5D0"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Проширивање сарадње са привредним субјектима и предшколским установама  у Пиротском округу и шире; </w:t>
            </w:r>
          </w:p>
          <w:p w14:paraId="6B0704B6"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Побољшање међусобне усаглашености исхода учења и очекиваних компетенција; </w:t>
            </w:r>
          </w:p>
          <w:p w14:paraId="074CA664"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Унапређење функционалне интеграције знања и вештина кроз прикупљање информација из пословног окружења о студијским програмима и мишљења од послодаваца о степену задовољства свршеним студентима; </w:t>
            </w:r>
          </w:p>
          <w:p w14:paraId="22980FF0"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Стварање мреже свршених студената – алумниста, ради прибављања повратних информација од запослених свршених студената о исходима образовања и стеченим компетенцијама;</w:t>
            </w:r>
          </w:p>
          <w:p w14:paraId="3EA83A36" w14:textId="77777777"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Активно учешће наставног кадра у пројектима националног и међународног карактера;</w:t>
            </w:r>
          </w:p>
          <w:p w14:paraId="56CE0328" w14:textId="77777777" w:rsidR="00B01A2D" w:rsidRPr="00FF2B87"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Подстицање државних институција и органа да разреше уочене проблеме који проистичу из законских противречности које се тичу акредитације студијских програма, обезбеђивања квалитета, и формулисања циљева и исхода студијских програма у погледу образовних квалификација неопходних за обављање одређених послова.</w:t>
            </w:r>
          </w:p>
          <w:p w14:paraId="385BF1B2" w14:textId="77777777" w:rsidR="00FF2B87" w:rsidRPr="00C91DBD" w:rsidRDefault="00FF2B87" w:rsidP="00FF2B87">
            <w:pPr>
              <w:widowControl w:val="0"/>
              <w:autoSpaceDE w:val="0"/>
              <w:spacing w:after="0" w:line="240" w:lineRule="auto"/>
              <w:ind w:left="720"/>
              <w:jc w:val="both"/>
              <w:rPr>
                <w:rFonts w:ascii="Cambria" w:hAnsi="Cambria"/>
              </w:rPr>
            </w:pPr>
          </w:p>
        </w:tc>
      </w:tr>
      <w:tr w:rsidR="00B01A2D" w:rsidRPr="00C91DBD" w14:paraId="0C61B4CC" w14:textId="77777777" w:rsidTr="00E03FFB">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14:paraId="43247413" w14:textId="77777777" w:rsidR="00B01A2D" w:rsidRPr="00C91DBD" w:rsidRDefault="00B01A2D" w:rsidP="00E03FFB">
            <w:pPr>
              <w:spacing w:after="0" w:line="240" w:lineRule="auto"/>
              <w:jc w:val="both"/>
              <w:rPr>
                <w:rFonts w:ascii="Cambria" w:hAnsi="Cambria"/>
              </w:rPr>
            </w:pPr>
            <w:r w:rsidRPr="00C91DBD">
              <w:rPr>
                <w:rFonts w:ascii="Cambria" w:eastAsia="Times New Roman" w:hAnsi="Cambria"/>
                <w:b/>
                <w:lang w:val="ru-RU"/>
              </w:rPr>
              <w:lastRenderedPageBreak/>
              <w:t>Показатељи и прилози за стандард  4</w:t>
            </w:r>
            <w:r w:rsidRPr="00C91DBD">
              <w:rPr>
                <w:rFonts w:ascii="Cambria" w:eastAsia="Times New Roman" w:hAnsi="Cambria"/>
                <w:b/>
                <w:color w:val="FF0000"/>
                <w:lang w:val="sr-Cyrl-CS"/>
              </w:rPr>
              <w:t>:</w:t>
            </w:r>
          </w:p>
          <w:p w14:paraId="6885D6BD" w14:textId="77777777" w:rsidR="00F75711" w:rsidRPr="00336435" w:rsidRDefault="00F75711" w:rsidP="00FF2B87">
            <w:pPr>
              <w:spacing w:after="0" w:line="240" w:lineRule="auto"/>
              <w:ind w:left="1435" w:hanging="1435"/>
              <w:jc w:val="both"/>
              <w:rPr>
                <w:rFonts w:ascii="Cambria" w:hAnsi="Cambria"/>
              </w:rPr>
            </w:pPr>
            <w:hyperlink r:id="rId13" w:history="1">
              <w:r w:rsidRPr="006E7896">
                <w:rPr>
                  <w:rStyle w:val="Hyperlink"/>
                  <w:rFonts w:ascii="Cambria" w:eastAsiaTheme="majorEastAsia" w:hAnsi="Cambria"/>
                  <w:b/>
                </w:rPr>
                <w:t>Табела 4.1</w:t>
              </w:r>
              <w:r w:rsidRPr="006E7896">
                <w:rPr>
                  <w:rStyle w:val="Hyperlink"/>
                  <w:rFonts w:ascii="Cambria" w:eastAsiaTheme="majorEastAsia" w:hAnsi="Cambria"/>
                </w:rPr>
                <w:t>. 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hyperlink>
          </w:p>
          <w:p w14:paraId="718C08B1" w14:textId="77777777" w:rsidR="00F75711" w:rsidRPr="00336435" w:rsidRDefault="00F75711" w:rsidP="00FF2B87">
            <w:pPr>
              <w:spacing w:after="0" w:line="240" w:lineRule="auto"/>
              <w:ind w:left="1435" w:hanging="1435"/>
              <w:jc w:val="both"/>
              <w:rPr>
                <w:rFonts w:ascii="Cambria" w:hAnsi="Cambria"/>
              </w:rPr>
            </w:pPr>
            <w:hyperlink r:id="rId14" w:history="1">
              <w:r w:rsidRPr="00AD4233">
                <w:rPr>
                  <w:rStyle w:val="Hyperlink"/>
                  <w:rFonts w:ascii="Cambria" w:eastAsiaTheme="majorEastAsia" w:hAnsi="Cambria"/>
                  <w:b/>
                </w:rPr>
                <w:t xml:space="preserve">Табела 4.2. </w:t>
              </w:r>
              <w:r w:rsidRPr="00AD4233">
                <w:rPr>
                  <w:rStyle w:val="Hyperlink"/>
                  <w:rFonts w:ascii="Cambria" w:eastAsiaTheme="majorEastAsia" w:hAnsi="Cambria"/>
                </w:rPr>
                <w:t>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30.09.) подели бројем студената уписаних у прву годину студија исте школскегодине. Податке показати посебно за сваки ниво студија.</w:t>
              </w:r>
            </w:hyperlink>
            <w:r w:rsidRPr="00336435">
              <w:rPr>
                <w:rFonts w:ascii="Cambria" w:hAnsi="Cambria"/>
              </w:rPr>
              <w:t xml:space="preserve"> </w:t>
            </w:r>
          </w:p>
          <w:p w14:paraId="24366E0E" w14:textId="77777777" w:rsidR="00F75711" w:rsidRPr="00336435" w:rsidRDefault="00F75711" w:rsidP="00FF2B87">
            <w:pPr>
              <w:spacing w:after="0" w:line="240" w:lineRule="auto"/>
              <w:ind w:left="1437" w:hanging="1437"/>
              <w:jc w:val="both"/>
              <w:rPr>
                <w:rFonts w:ascii="Cambria" w:hAnsi="Cambria"/>
              </w:rPr>
            </w:pPr>
            <w:hyperlink r:id="rId15" w:history="1">
              <w:r w:rsidRPr="00AD4233">
                <w:rPr>
                  <w:rStyle w:val="Hyperlink"/>
                  <w:rFonts w:ascii="Cambria" w:eastAsiaTheme="majorEastAsia" w:hAnsi="Cambria"/>
                  <w:b/>
                </w:rPr>
                <w:t xml:space="preserve">Табела 4.3. </w:t>
              </w:r>
              <w:r w:rsidRPr="00AD4233">
                <w:rPr>
                  <w:rStyle w:val="Hyperlink"/>
                  <w:rFonts w:ascii="Cambria" w:eastAsiaTheme="majorEastAsia" w:hAnsi="Cambria"/>
                </w:rPr>
                <w:t xml:space="preserve">Просечно трајање студија у претходне 3 школске године. Овај податак се добија тако што се за студенте који су дипломирали до краја школске године (до </w:t>
              </w:r>
              <w:r w:rsidRPr="00AD4233">
                <w:rPr>
                  <w:rStyle w:val="Hyperlink"/>
                  <w:rFonts w:ascii="Cambria" w:eastAsiaTheme="majorEastAsia" w:hAnsi="Cambria"/>
                </w:rPr>
                <w:lastRenderedPageBreak/>
                <w:t>30.09.) израчуна просечно трајање студирања. Податке показати посебно за сваки ниво студија.</w:t>
              </w:r>
            </w:hyperlink>
            <w:r w:rsidRPr="00336435">
              <w:rPr>
                <w:rFonts w:ascii="Cambria" w:hAnsi="Cambria"/>
              </w:rPr>
              <w:t xml:space="preserve"> </w:t>
            </w:r>
          </w:p>
          <w:p w14:paraId="5728DD63" w14:textId="77777777" w:rsidR="00F75711" w:rsidRPr="00336435" w:rsidRDefault="00F75711" w:rsidP="00FF2B87">
            <w:pPr>
              <w:spacing w:after="0" w:line="240" w:lineRule="auto"/>
              <w:ind w:left="1437" w:hanging="1437"/>
              <w:jc w:val="both"/>
              <w:rPr>
                <w:rFonts w:ascii="Cambria" w:hAnsi="Cambria"/>
              </w:rPr>
            </w:pPr>
            <w:hyperlink r:id="rId16" w:history="1">
              <w:r w:rsidRPr="00FF2B87">
                <w:rPr>
                  <w:rStyle w:val="Hyperlink"/>
                  <w:rFonts w:ascii="Cambria" w:eastAsiaTheme="majorEastAsia" w:hAnsi="Cambria"/>
                  <w:b/>
                </w:rPr>
                <w:t>Прилог 4.</w:t>
              </w:r>
              <w:r w:rsidRPr="00FF2B87">
                <w:rPr>
                  <w:rStyle w:val="Hyperlink"/>
                  <w:rFonts w:ascii="Cambria" w:eastAsiaTheme="majorEastAsia" w:hAnsi="Cambria"/>
                  <w:b/>
                  <w:lang w:val="sr-Cyrl-CS"/>
                </w:rPr>
                <w:t>1</w:t>
              </w:r>
              <w:r w:rsidRPr="00FF2B87">
                <w:rPr>
                  <w:rStyle w:val="Hyperlink"/>
                  <w:rFonts w:ascii="Cambria" w:eastAsiaTheme="majorEastAsia" w:hAnsi="Cambria"/>
                  <w:b/>
                </w:rPr>
                <w:t xml:space="preserve">. </w:t>
              </w:r>
              <w:r w:rsidRPr="00FF2B87">
                <w:rPr>
                  <w:rStyle w:val="Hyperlink"/>
                  <w:rFonts w:ascii="Cambria" w:eastAsiaTheme="majorEastAsia" w:hAnsi="Cambria"/>
                </w:rPr>
                <w:t>Анализа резултата анкета о мишљењу дипломираних студената о квалитету студијског програма и постигнутим исходима учења.</w:t>
              </w:r>
            </w:hyperlink>
            <w:r w:rsidRPr="00336435">
              <w:rPr>
                <w:rFonts w:ascii="Cambria" w:hAnsi="Cambria"/>
              </w:rPr>
              <w:t xml:space="preserve"> </w:t>
            </w:r>
          </w:p>
          <w:p w14:paraId="55C1F1AF" w14:textId="77777777" w:rsidR="00B01A2D" w:rsidRPr="00C91DBD" w:rsidRDefault="00F75711" w:rsidP="00FF2B87">
            <w:pPr>
              <w:spacing w:after="0" w:line="240" w:lineRule="auto"/>
              <w:jc w:val="both"/>
              <w:rPr>
                <w:rFonts w:ascii="Cambria" w:hAnsi="Cambria"/>
              </w:rPr>
            </w:pPr>
            <w:hyperlink r:id="rId17" w:history="1">
              <w:r w:rsidRPr="00FF2B87">
                <w:rPr>
                  <w:rStyle w:val="Hyperlink"/>
                  <w:rFonts w:ascii="Cambria" w:eastAsiaTheme="majorEastAsia" w:hAnsi="Cambria"/>
                  <w:b/>
                </w:rPr>
                <w:t xml:space="preserve">Прилог 4.2. </w:t>
              </w:r>
              <w:r w:rsidRPr="00FF2B87">
                <w:rPr>
                  <w:rStyle w:val="Hyperlink"/>
                  <w:rFonts w:ascii="Cambria" w:eastAsiaTheme="majorEastAsia" w:hAnsi="Cambria"/>
                </w:rPr>
                <w:t>Анализа резултата анкета о задовољству послодаваца стеченим квали-фикацијама дипломаца</w:t>
              </w:r>
            </w:hyperlink>
          </w:p>
        </w:tc>
      </w:tr>
    </w:tbl>
    <w:p w14:paraId="1B61B101" w14:textId="77777777" w:rsidR="002C3979" w:rsidRPr="00C91DBD" w:rsidRDefault="002C3979">
      <w:pPr>
        <w:rPr>
          <w:rFonts w:ascii="Cambria" w:hAnsi="Cambria"/>
        </w:rPr>
      </w:pPr>
    </w:p>
    <w:sectPr w:rsidR="002C3979" w:rsidRPr="00C91DBD" w:rsidSect="004F39C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023C"/>
    <w:multiLevelType w:val="hybridMultilevel"/>
    <w:tmpl w:val="56322470"/>
    <w:lvl w:ilvl="0" w:tplc="4EF43CC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7138"/>
    <w:multiLevelType w:val="hybridMultilevel"/>
    <w:tmpl w:val="78D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4065D3"/>
    <w:multiLevelType w:val="hybridMultilevel"/>
    <w:tmpl w:val="FEBC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332526"/>
    <w:multiLevelType w:val="hybridMultilevel"/>
    <w:tmpl w:val="50D46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EC52E6"/>
    <w:multiLevelType w:val="hybridMultilevel"/>
    <w:tmpl w:val="735E65C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61DA25D6"/>
    <w:multiLevelType w:val="hybridMultilevel"/>
    <w:tmpl w:val="8826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608853">
    <w:abstractNumId w:val="2"/>
  </w:num>
  <w:num w:numId="2" w16cid:durableId="1603295833">
    <w:abstractNumId w:val="4"/>
  </w:num>
  <w:num w:numId="3" w16cid:durableId="59639239">
    <w:abstractNumId w:val="0"/>
  </w:num>
  <w:num w:numId="4" w16cid:durableId="749347581">
    <w:abstractNumId w:val="3"/>
  </w:num>
  <w:num w:numId="5" w16cid:durableId="775752628">
    <w:abstractNumId w:val="5"/>
  </w:num>
  <w:num w:numId="6" w16cid:durableId="634215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01A2D"/>
    <w:rsid w:val="00061374"/>
    <w:rsid w:val="00147EAA"/>
    <w:rsid w:val="002C3979"/>
    <w:rsid w:val="00316C5B"/>
    <w:rsid w:val="003D1457"/>
    <w:rsid w:val="00491D2C"/>
    <w:rsid w:val="004F39C4"/>
    <w:rsid w:val="005F4023"/>
    <w:rsid w:val="006F28F0"/>
    <w:rsid w:val="006F774E"/>
    <w:rsid w:val="00925DD7"/>
    <w:rsid w:val="00B01A2D"/>
    <w:rsid w:val="00B3580B"/>
    <w:rsid w:val="00BC2B78"/>
    <w:rsid w:val="00C91DBD"/>
    <w:rsid w:val="00D12125"/>
    <w:rsid w:val="00F004E9"/>
    <w:rsid w:val="00F75711"/>
    <w:rsid w:val="00FF2B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E65B0"/>
  <w15:docId w15:val="{2168B8F4-99F1-4707-A1BA-450F23CB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A2D"/>
    <w:pPr>
      <w:suppressAutoHyphens/>
      <w:spacing w:after="200" w:line="276" w:lineRule="auto"/>
    </w:pPr>
    <w:rPr>
      <w:rFonts w:ascii="Calibri" w:eastAsia="Calibri" w:hAnsi="Calibri" w:cs="Times New Roman"/>
      <w:kern w:val="0"/>
      <w:sz w:val="22"/>
      <w:szCs w:val="22"/>
      <w:lang w:val="uz-Cyrl-UZ" w:eastAsia="zh-CN"/>
    </w:rPr>
  </w:style>
  <w:style w:type="paragraph" w:styleId="Heading1">
    <w:name w:val="heading 1"/>
    <w:basedOn w:val="Normal"/>
    <w:next w:val="Normal"/>
    <w:link w:val="Heading1Char"/>
    <w:qFormat/>
    <w:rsid w:val="00B01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1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1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A2D"/>
    <w:rPr>
      <w:rFonts w:eastAsiaTheme="majorEastAsia" w:cstheme="majorBidi"/>
      <w:color w:val="272727" w:themeColor="text1" w:themeTint="D8"/>
    </w:rPr>
  </w:style>
  <w:style w:type="paragraph" w:styleId="Title">
    <w:name w:val="Title"/>
    <w:basedOn w:val="Normal"/>
    <w:next w:val="Normal"/>
    <w:link w:val="TitleChar"/>
    <w:uiPriority w:val="10"/>
    <w:qFormat/>
    <w:rsid w:val="00B01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1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A2D"/>
    <w:pPr>
      <w:spacing w:before="160"/>
      <w:jc w:val="center"/>
    </w:pPr>
    <w:rPr>
      <w:i/>
      <w:iCs/>
      <w:color w:val="404040" w:themeColor="text1" w:themeTint="BF"/>
    </w:rPr>
  </w:style>
  <w:style w:type="character" w:customStyle="1" w:styleId="QuoteChar">
    <w:name w:val="Quote Char"/>
    <w:basedOn w:val="DefaultParagraphFont"/>
    <w:link w:val="Quote"/>
    <w:uiPriority w:val="29"/>
    <w:rsid w:val="00B01A2D"/>
    <w:rPr>
      <w:i/>
      <w:iCs/>
      <w:color w:val="404040" w:themeColor="text1" w:themeTint="BF"/>
    </w:rPr>
  </w:style>
  <w:style w:type="paragraph" w:styleId="ListParagraph">
    <w:name w:val="List Paragraph"/>
    <w:basedOn w:val="Normal"/>
    <w:uiPriority w:val="34"/>
    <w:qFormat/>
    <w:rsid w:val="00B01A2D"/>
    <w:pPr>
      <w:ind w:left="720"/>
      <w:contextualSpacing/>
    </w:pPr>
  </w:style>
  <w:style w:type="character" w:styleId="IntenseEmphasis">
    <w:name w:val="Intense Emphasis"/>
    <w:basedOn w:val="DefaultParagraphFont"/>
    <w:uiPriority w:val="21"/>
    <w:qFormat/>
    <w:rsid w:val="00B01A2D"/>
    <w:rPr>
      <w:i/>
      <w:iCs/>
      <w:color w:val="0F4761" w:themeColor="accent1" w:themeShade="BF"/>
    </w:rPr>
  </w:style>
  <w:style w:type="paragraph" w:styleId="IntenseQuote">
    <w:name w:val="Intense Quote"/>
    <w:basedOn w:val="Normal"/>
    <w:next w:val="Normal"/>
    <w:link w:val="IntenseQuoteChar"/>
    <w:uiPriority w:val="30"/>
    <w:qFormat/>
    <w:rsid w:val="00B01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A2D"/>
    <w:rPr>
      <w:i/>
      <w:iCs/>
      <w:color w:val="0F4761" w:themeColor="accent1" w:themeShade="BF"/>
    </w:rPr>
  </w:style>
  <w:style w:type="character" w:styleId="IntenseReference">
    <w:name w:val="Intense Reference"/>
    <w:basedOn w:val="DefaultParagraphFont"/>
    <w:uiPriority w:val="32"/>
    <w:qFormat/>
    <w:rsid w:val="00B01A2D"/>
    <w:rPr>
      <w:b/>
      <w:bCs/>
      <w:smallCaps/>
      <w:color w:val="0F4761" w:themeColor="accent1" w:themeShade="BF"/>
      <w:spacing w:val="5"/>
    </w:rPr>
  </w:style>
  <w:style w:type="character" w:styleId="Hyperlink">
    <w:name w:val="Hyperlink"/>
    <w:rsid w:val="00B01A2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06137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datni%20prilozi/Pravila_studija_ATVSS_19092023.pdf" TargetMode="External"/><Relationship Id="rId13" Type="http://schemas.openxmlformats.org/officeDocument/2006/relationships/hyperlink" Target="&#1058;&#1072;&#1073;&#1077;&#1083;&#1077;/&#1058;&#1072;&#1073;&#1077;&#1083;&#1072;%204.1.%20&#1051;&#1080;&#1089;&#1090;&#1072;%20&#1089;&#1074;&#1080;&#1093;%20&#1089;&#1090;&#1091;&#1076;&#1080;&#1112;&#1089;&#1082;&#1080;&#1093;%20&#1087;&#1088;&#1086;&#1075;&#1088;&#1072;&#1084;&#1072;.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datni%20prilozi/Pravilnik_o_master_strukovnim_studijama_prijavi_pripremi_i_odbrani_ZMR_preciscen_tekst_10062024.pdf" TargetMode="External"/><Relationship Id="rId12" Type="http://schemas.openxmlformats.org/officeDocument/2006/relationships/hyperlink" Target="Prilozi/Prilog%204.1" TargetMode="External"/><Relationship Id="rId17" Type="http://schemas.openxmlformats.org/officeDocument/2006/relationships/hyperlink" Target="&#1055;&#1088;&#1080;&#1083;&#1086;&#1079;&#1080;/&#1055;&#1088;&#1080;&#1083;&#1086;&#1075;%204.2.%20&#1040;&#1085;&#1072;&#1083;&#1080;&#1079;&#1072;%20&#1088;&#1077;&#1079;&#1091;&#1083;&#1090;&#1072;&#1090;&#1072;%20&#1072;&#1085;&#1082;&#1077;&#1090;&#1072;%20&#1086;%20&#1079;&#1072;&#1076;&#1086;&#1074;&#1086;&#1113;&#1089;&#1090;&#1074;&#1091;%20&#1087;&#1086;&#1089;&#1083;&#1086;&#1076;&#1072;&#1074;&#1072;&#1094;&#1072;.doc.docx" TargetMode="External"/><Relationship Id="rId2" Type="http://schemas.openxmlformats.org/officeDocument/2006/relationships/styles" Target="styles.xml"/><Relationship Id="rId16" Type="http://schemas.openxmlformats.org/officeDocument/2006/relationships/hyperlink" Target="&#1055;&#1088;&#1080;&#1083;&#1086;&#1079;&#1080;/&#1055;&#1088;&#1080;&#1083;&#1086;&#1075;%204.1.%20&#1040;&#1085;&#1082;&#1077;&#1090;&#1072;%20&#1089;&#1072;%20&#1076;&#1080;&#1087;&#1083;&#1086;&#1084;&#1080;&#1088;&#1072;&#1085;&#1080;&#1084;%20&#1089;&#1090;&#1091;&#1076;&#1077;&#1085;&#1090;&#1080;&#1084;&#1072;.docx" TargetMode="External"/><Relationship Id="rId1" Type="http://schemas.openxmlformats.org/officeDocument/2006/relationships/numbering" Target="numbering.xml"/><Relationship Id="rId6" Type="http://schemas.openxmlformats.org/officeDocument/2006/relationships/hyperlink" Target="chrome-extension://efaidnbmnnnibpcajpcglclefindmkaj/https:/odsekpirot.akademijanis.edu.rs/wp-content/uploads/2025/07/%D0%98%D0%9D%D0%A4%D0%9E%D0%A0%D0%9C%D0%90%D0%A2%D0%9E%D0%A0-%D0%9C%D0%A1%D0%A1-%D0%92%D0%90%D0%A1%D0%9F.pdf" TargetMode="External"/><Relationship Id="rId11" Type="http://schemas.openxmlformats.org/officeDocument/2006/relationships/hyperlink" Target="&#1054;&#1089;&#1090;&#1072;&#1083;&#1086;/SMV%20-%20mapiranje%20predmeta.docx" TargetMode="External"/><Relationship Id="rId5" Type="http://schemas.openxmlformats.org/officeDocument/2006/relationships/hyperlink" Target="https://odsekpirot.akademijanis.edu.rs/%d0%bc%d0%b0%d1%81%d1%82%d0%b5%d1%80/" TargetMode="External"/><Relationship Id="rId15" Type="http://schemas.openxmlformats.org/officeDocument/2006/relationships/hyperlink" Target="&#1058;&#1072;&#1073;&#1077;&#1083;&#1077;/&#1058;&#1072;&#1073;&#1077;&#1083;&#1072;%204.3.%20&#1055;&#1088;&#1086;&#1089;&#1077;&#1095;&#1085;&#1086;%20&#1090;&#1088;&#1072;&#1112;&#1072;&#1114;&#1077;%20&#1089;&#1090;&#1091;&#1076;&#1080;&#1112;&#1072;%20&#1091;%20&#1087;&#1088;&#1077;&#1090;&#1093;&#1086;&#1076;&#1085;&#1077;%203%20&#1096;&#1082;&#1086;&#1083;&#1089;&#1082;&#1077;%20&#1075;&#1086;&#1076;&#1080;&#1085;&#1077;.pdf" TargetMode="External"/><Relationship Id="rId10" Type="http://schemas.openxmlformats.org/officeDocument/2006/relationships/hyperlink" Target="&#1054;&#1089;&#1090;&#1072;&#1083;&#1086;/Razvojno%20dinamska%20psihologija.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1054;&#1089;&#1090;&#1072;&#1083;&#1086;/SMV%20-%20procene%20postignu&#263;a.docx" TargetMode="External"/><Relationship Id="rId14" Type="http://schemas.openxmlformats.org/officeDocument/2006/relationships/hyperlink" Target="&#1058;&#1072;&#1073;&#1077;&#1083;&#1077;/&#1058;&#1072;&#1073;&#1077;&#1083;&#1072;%204.2.&#1041;&#1088;&#1086;&#1112;%20&#1080;%20&#1087;&#1088;&#1086;&#1094;&#1077;&#1085;&#1072;&#1090;%20&#1076;&#1080;&#1087;&#1083;&#1086;&#1084;&#1080;&#1088;&#1072;&#1085;&#1080;&#1093;%20&#1089;&#1090;&#1091;&#1076;&#1077;&#1085;&#1072;&#1090;&#107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6</Pages>
  <Words>2330</Words>
  <Characters>15127</Characters>
  <Application>Microsoft Office Word</Application>
  <DocSecurity>0</DocSecurity>
  <Lines>260</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 Драгана Драгутиновић</dc:creator>
  <cp:lastModifiedBy>IT</cp:lastModifiedBy>
  <cp:revision>8</cp:revision>
  <dcterms:created xsi:type="dcterms:W3CDTF">2025-07-06T07:31:00Z</dcterms:created>
  <dcterms:modified xsi:type="dcterms:W3CDTF">2025-11-19T22:09:00Z</dcterms:modified>
</cp:coreProperties>
</file>