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741088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812767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812767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2024. – </w:t>
            </w:r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април</w:t>
            </w:r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FA3CBF">
            <w:r w:rsidRPr="00FA3CBF">
              <w:rPr>
                <w:noProof/>
                <w:color w:val="000000" w:themeColor="text1"/>
              </w:rPr>
              <w:pict>
                <v:roundrect id="AutoShape 7" o:spid="_x0000_s1027" style="position:absolute;margin-left:51.3pt;margin-top:2.3pt;width:394.5pt;height:123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35351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7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923EAC" w:rsidRDefault="00B20FFE" w:rsidP="00923EAC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</w:p>
          <w:p w:rsidR="00923EAC" w:rsidRPr="00353518" w:rsidRDefault="00353518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НАСТАВНИКА И САРАДНИКА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Default="00353518"/>
          <w:p w:rsidR="00353518" w:rsidRPr="00353518" w:rsidRDefault="00353518"/>
          <w:p w:rsidR="0029095C" w:rsidRDefault="0029095C"/>
          <w:p w:rsidR="0029095C" w:rsidRDefault="0029095C"/>
          <w:p w:rsidR="0029095C" w:rsidRDefault="0029095C"/>
          <w:p w:rsidR="0029095C" w:rsidRDefault="0029095C"/>
          <w:p w:rsidR="00834D85" w:rsidRPr="00834D85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353518" w:rsidRDefault="000779C8" w:rsidP="001050FA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200B7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1050FA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200B7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353518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наставника и сарадника</w:t>
                  </w: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3645B1" w:rsidRPr="003645B1" w:rsidRDefault="003645B1" w:rsidP="003645B1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:rsidR="00EF3986" w:rsidRDefault="00F4575D" w:rsidP="00BE69B0">
                  <w:pPr>
                    <w:pStyle w:val="BodyText"/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DA4AAB">
                    <w:rPr>
                      <w:rFonts w:ascii="Cambria" w:hAnsi="Cambria"/>
                    </w:rPr>
                    <w:t xml:space="preserve">Као што је у Уводним напоменама већ назначено, Академија техничко-васпитачких струковних студија (у даљем тексту </w:t>
                  </w:r>
                  <w:r w:rsidR="00CC5161">
                    <w:rPr>
                      <w:rFonts w:ascii="Cambria" w:hAnsi="Cambria"/>
                    </w:rPr>
                    <w:t>Академија</w:t>
                  </w:r>
                  <w:r w:rsidR="00145AD3">
                    <w:rPr>
                      <w:rFonts w:ascii="Cambria" w:hAnsi="Cambria"/>
                    </w:rPr>
                    <w:t>) формирана је 2019.</w:t>
                  </w:r>
                  <w:r w:rsidRPr="00DA4AAB">
                    <w:rPr>
                      <w:rFonts w:ascii="Cambria" w:hAnsi="Cambria"/>
                    </w:rPr>
                    <w:t>године, спајањем три високе школе (Ниш, Пирот и Врање), при чему је</w:t>
                  </w:r>
                  <w:r w:rsidR="0017525C" w:rsidRPr="00DA4AAB">
                    <w:rPr>
                      <w:rFonts w:ascii="Cambria" w:hAnsi="Cambria"/>
                    </w:rPr>
                    <w:t xml:space="preserve"> њена</w:t>
                  </w:r>
                  <w:r w:rsidRPr="00DA4AAB">
                    <w:rPr>
                      <w:rFonts w:ascii="Cambria" w:hAnsi="Cambria"/>
                    </w:rPr>
                    <w:t xml:space="preserve"> прва акредитација била 2021.године. Удруживањем </w:t>
                  </w:r>
                  <w:r w:rsidR="00145AD3">
                    <w:rPr>
                      <w:rFonts w:ascii="Cambria" w:hAnsi="Cambria"/>
                    </w:rPr>
                    <w:t>ових високих</w:t>
                  </w:r>
                  <w:r w:rsidRPr="00DA4AAB">
                    <w:rPr>
                      <w:rFonts w:ascii="Cambria" w:hAnsi="Cambria"/>
                    </w:rPr>
                    <w:t xml:space="preserve"> школ</w:t>
                  </w:r>
                  <w:r w:rsidR="00145AD3">
                    <w:rPr>
                      <w:rFonts w:ascii="Cambria" w:hAnsi="Cambria"/>
                    </w:rPr>
                    <w:t>а</w:t>
                  </w:r>
                  <w:r w:rsidRPr="00DA4AAB">
                    <w:rPr>
                      <w:rFonts w:ascii="Cambria" w:hAnsi="Cambria"/>
                    </w:rPr>
                    <w:t xml:space="preserve"> у </w:t>
                  </w:r>
                  <w:r w:rsidR="00CC5161">
                    <w:rPr>
                      <w:rFonts w:ascii="Cambria" w:hAnsi="Cambria"/>
                    </w:rPr>
                    <w:t>Академију</w:t>
                  </w:r>
                  <w:r w:rsidR="0017525C" w:rsidRPr="00DA4AAB">
                    <w:rPr>
                      <w:rFonts w:ascii="Cambria" w:hAnsi="Cambria"/>
                    </w:rPr>
                    <w:t xml:space="preserve"> (сада три</w:t>
                  </w:r>
                  <w:r w:rsidR="00CC5161">
                    <w:rPr>
                      <w:rFonts w:ascii="Cambria" w:hAnsi="Cambria"/>
                    </w:rPr>
                    <w:t xml:space="preserve"> организа</w:t>
                  </w:r>
                  <w:r w:rsidR="00C14FFB">
                    <w:rPr>
                      <w:rFonts w:ascii="Cambria" w:hAnsi="Cambria"/>
                    </w:rPr>
                    <w:t>-</w:t>
                  </w:r>
                  <w:r w:rsidR="00CC5161">
                    <w:rPr>
                      <w:rFonts w:ascii="Cambria" w:hAnsi="Cambria"/>
                    </w:rPr>
                    <w:t>ционе јединице -</w:t>
                  </w:r>
                  <w:r w:rsidR="0017525C" w:rsidRPr="00DA4AAB">
                    <w:rPr>
                      <w:rFonts w:ascii="Cambria" w:hAnsi="Cambria"/>
                    </w:rPr>
                    <w:t xml:space="preserve"> одсека)</w:t>
                  </w:r>
                  <w:r w:rsidRPr="00DA4AAB">
                    <w:rPr>
                      <w:rFonts w:ascii="Cambria" w:hAnsi="Cambria"/>
                    </w:rPr>
                    <w:t xml:space="preserve">, наставно особље из </w:t>
                  </w:r>
                  <w:r w:rsidR="00145AD3">
                    <w:rPr>
                      <w:rFonts w:ascii="Cambria" w:hAnsi="Cambria"/>
                    </w:rPr>
                    <w:t>тих</w:t>
                  </w:r>
                  <w:r w:rsidRPr="00DA4AAB">
                    <w:rPr>
                      <w:rFonts w:ascii="Cambria" w:hAnsi="Cambria"/>
                    </w:rPr>
                    <w:t xml:space="preserve"> школ</w:t>
                  </w:r>
                  <w:r w:rsidR="00145AD3">
                    <w:rPr>
                      <w:rFonts w:ascii="Cambria" w:hAnsi="Cambria"/>
                    </w:rPr>
                    <w:t>а</w:t>
                  </w:r>
                  <w:r w:rsidRPr="00DA4AAB">
                    <w:rPr>
                      <w:rFonts w:ascii="Cambria" w:hAnsi="Cambria"/>
                    </w:rPr>
                    <w:t xml:space="preserve"> прешло је</w:t>
                  </w:r>
                  <w:r w:rsidR="0017525C" w:rsidRPr="00DA4AAB">
                    <w:rPr>
                      <w:rFonts w:ascii="Cambria" w:hAnsi="Cambria"/>
                    </w:rPr>
                    <w:t xml:space="preserve"> у</w:t>
                  </w:r>
                  <w:r w:rsidR="00812767">
                    <w:rPr>
                      <w:rFonts w:ascii="Cambria" w:hAnsi="Cambria"/>
                    </w:rPr>
                    <w:t xml:space="preserve"> </w:t>
                  </w:r>
                  <w:r w:rsidR="00CC5161">
                    <w:rPr>
                      <w:rFonts w:ascii="Cambria" w:hAnsi="Cambria"/>
                    </w:rPr>
                    <w:t>Академију</w:t>
                  </w:r>
                  <w:r w:rsidRPr="00DA4AAB">
                    <w:rPr>
                      <w:rFonts w:ascii="Cambria" w:hAnsi="Cambria"/>
                    </w:rPr>
                    <w:t xml:space="preserve">, тако да се отворила могућност да се, према потреби, наставници из различитих одсека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 w:rsidR="0017525C" w:rsidRPr="00DA4AAB">
                    <w:rPr>
                      <w:rFonts w:ascii="Cambria" w:hAnsi="Cambria"/>
                    </w:rPr>
                    <w:t xml:space="preserve">, </w:t>
                  </w:r>
                  <w:r w:rsidRPr="00DA4AAB">
                    <w:rPr>
                      <w:rFonts w:ascii="Cambria" w:hAnsi="Cambria"/>
                    </w:rPr>
                    <w:t xml:space="preserve">користе приликом извођења наставе </w:t>
                  </w:r>
                  <w:r w:rsidR="00AD2E2D">
                    <w:rPr>
                      <w:rFonts w:ascii="Cambria" w:hAnsi="Cambria"/>
                    </w:rPr>
                    <w:t xml:space="preserve">и </w:t>
                  </w:r>
                  <w:r w:rsidRPr="00DA4AAB">
                    <w:rPr>
                      <w:rFonts w:ascii="Cambria" w:hAnsi="Cambria"/>
                    </w:rPr>
                    <w:t>акредитације студијских програ</w:t>
                  </w:r>
                  <w:r w:rsidR="00C14FFB">
                    <w:rPr>
                      <w:rFonts w:ascii="Cambria" w:hAnsi="Cambria"/>
                    </w:rPr>
                    <w:t>-</w:t>
                  </w:r>
                  <w:r w:rsidRPr="00DA4AAB">
                    <w:rPr>
                      <w:rFonts w:ascii="Cambria" w:hAnsi="Cambria"/>
                    </w:rPr>
                    <w:t>ма (</w:t>
                  </w:r>
                  <w:r w:rsidR="00AD2E2D">
                    <w:rPr>
                      <w:rFonts w:ascii="Cambria" w:hAnsi="Cambria"/>
                    </w:rPr>
                    <w:t xml:space="preserve">наставници </w:t>
                  </w:r>
                  <w:r w:rsidRPr="00DA4AAB">
                    <w:rPr>
                      <w:rFonts w:ascii="Cambria" w:hAnsi="Cambria"/>
                    </w:rPr>
                    <w:t xml:space="preserve">се воде са 100% запошљења на Академији, одсеци </w:t>
                  </w:r>
                  <w:r w:rsidR="0017525C" w:rsidRPr="00DA4AAB">
                    <w:rPr>
                      <w:rFonts w:ascii="Cambria" w:hAnsi="Cambria"/>
                    </w:rPr>
                    <w:t xml:space="preserve">више </w:t>
                  </w:r>
                  <w:r w:rsidRPr="00DA4AAB">
                    <w:rPr>
                      <w:rFonts w:ascii="Cambria" w:hAnsi="Cambria"/>
                    </w:rPr>
                    <w:t>немају статус правног лица).</w:t>
                  </w:r>
                  <w:r w:rsidR="0017525C" w:rsidRPr="00DA4AAB">
                    <w:rPr>
                      <w:rFonts w:ascii="Cambria" w:hAnsi="Cambria"/>
                    </w:rPr>
                    <w:t xml:space="preserve"> На овај начин је постојећи кадар сваке школе (сада одсека), појачан наставницима са других одсека, што је резултирало </w:t>
                  </w:r>
                  <w:r w:rsidR="00EF3986">
                    <w:rPr>
                      <w:rFonts w:ascii="Cambria" w:hAnsi="Cambria"/>
                    </w:rPr>
                    <w:t xml:space="preserve">успешним </w:t>
                  </w:r>
                  <w:r w:rsidR="0017525C" w:rsidRPr="00DA4AAB">
                    <w:rPr>
                      <w:rFonts w:ascii="Cambria" w:hAnsi="Cambria"/>
                    </w:rPr>
                    <w:t>акреди</w:t>
                  </w:r>
                  <w:r w:rsidR="00C14FFB">
                    <w:rPr>
                      <w:rFonts w:ascii="Cambria" w:hAnsi="Cambria"/>
                    </w:rPr>
                    <w:t>-</w:t>
                  </w:r>
                  <w:r w:rsidR="0017525C" w:rsidRPr="00DA4AAB">
                    <w:rPr>
                      <w:rFonts w:ascii="Cambria" w:hAnsi="Cambria"/>
                    </w:rPr>
                    <w:t xml:space="preserve">тацијама нових и поновним акредитацијама старих студијских програма, од којих неки </w:t>
                  </w:r>
                  <w:r w:rsidR="00EF3986">
                    <w:rPr>
                      <w:rFonts w:ascii="Cambria" w:hAnsi="Cambria"/>
                    </w:rPr>
                    <w:t xml:space="preserve">вероватно не </w:t>
                  </w:r>
                  <w:r w:rsidR="0017525C" w:rsidRPr="00DA4AAB">
                    <w:rPr>
                      <w:rFonts w:ascii="Cambria" w:hAnsi="Cambria"/>
                    </w:rPr>
                    <w:t>би</w:t>
                  </w:r>
                  <w:r w:rsidR="00EF3986">
                    <w:rPr>
                      <w:rFonts w:ascii="Cambria" w:hAnsi="Cambria"/>
                    </w:rPr>
                    <w:t xml:space="preserve"> могли бити </w:t>
                  </w:r>
                  <w:r w:rsidR="0017525C" w:rsidRPr="00DA4AAB">
                    <w:rPr>
                      <w:rFonts w:ascii="Cambria" w:hAnsi="Cambria"/>
                    </w:rPr>
                    <w:t>акредитовани без оваквог удруживања</w:t>
                  </w:r>
                  <w:r w:rsidR="00EF3986">
                    <w:rPr>
                      <w:rFonts w:ascii="Cambria" w:hAnsi="Cambria"/>
                    </w:rPr>
                    <w:t>.</w:t>
                  </w:r>
                </w:p>
                <w:p w:rsidR="00AD2E2D" w:rsidRPr="00502374" w:rsidRDefault="00DA4AAB" w:rsidP="0028267C">
                  <w:pPr>
                    <w:pStyle w:val="BodyText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Када се анализира квалитет наставника и сарадника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>
                    <w:rPr>
                      <w:rFonts w:ascii="Cambria" w:hAnsi="Cambria"/>
                    </w:rPr>
                    <w:t>, може се констатова</w:t>
                  </w:r>
                  <w:r w:rsidR="0081276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ти да се ради о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квалификовано</w:t>
                  </w:r>
                  <w:r>
                    <w:rPr>
                      <w:rFonts w:ascii="Cambria" w:hAnsi="Cambria"/>
                      <w:lang w:val="ru-RU"/>
                    </w:rPr>
                    <w:t>м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 и компетентно</w:t>
                  </w:r>
                  <w:r>
                    <w:rPr>
                      <w:rFonts w:ascii="Cambria" w:hAnsi="Cambria"/>
                      <w:lang w:val="ru-RU"/>
                    </w:rPr>
                    <w:t>м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 наставно</w:t>
                  </w:r>
                  <w:r>
                    <w:rPr>
                      <w:rFonts w:ascii="Cambria" w:hAnsi="Cambria"/>
                      <w:lang w:val="ru-RU"/>
                    </w:rPr>
                    <w:t xml:space="preserve">м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кадр</w:t>
                  </w:r>
                  <w:r>
                    <w:rPr>
                      <w:rFonts w:ascii="Cambria" w:hAnsi="Cambria"/>
                      <w:lang w:val="ru-RU"/>
                    </w:rPr>
                    <w:t>у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, који наставу реа</w:t>
                  </w:r>
                  <w:r w:rsidR="00145AD3">
                    <w:rPr>
                      <w:rFonts w:ascii="Cambria" w:hAnsi="Cambria"/>
                      <w:lang w:val="ru-RU"/>
                    </w:rPr>
                    <w:t>-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лизује у складу са строгим применама одредби Закона о високом</w:t>
                  </w:r>
                  <w:r w:rsidR="0081276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образовању, као и </w:t>
                  </w:r>
                  <w:r>
                    <w:rPr>
                      <w:rFonts w:ascii="Cambria" w:hAnsi="Cambria"/>
                      <w:lang w:val="ru-RU"/>
                    </w:rPr>
                    <w:t xml:space="preserve">применом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Статута </w:t>
                  </w:r>
                  <w:r w:rsidR="00CC5161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 и </w:t>
                  </w:r>
                  <w:hyperlink r:id="rId10" w:history="1">
                    <w:r w:rsidR="0017525C" w:rsidRPr="00CC5161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Правилника о из</w:t>
                    </w:r>
                    <w:r w:rsidRPr="00CC5161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бору у звање и заснивању радног </w:t>
                    </w:r>
                    <w:r w:rsidR="0017525C" w:rsidRPr="00CC5161">
                      <w:rPr>
                        <w:rStyle w:val="Hyperlink"/>
                        <w:rFonts w:ascii="Cambria" w:hAnsi="Cambria"/>
                        <w:lang w:val="ru-RU"/>
                      </w:rPr>
                      <w:t>односа наставног особља</w:t>
                    </w:r>
                  </w:hyperlink>
                  <w:r w:rsidR="00812767">
                    <w:t xml:space="preserve"> </w:t>
                  </w:r>
                  <w:r w:rsidR="00CC5161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, усаглашених са с</w:t>
                  </w:r>
                  <w:r>
                    <w:rPr>
                      <w:rFonts w:ascii="Cambria" w:hAnsi="Cambria"/>
                      <w:lang w:val="ru-RU"/>
                    </w:rPr>
                    <w:t>мерницама Националног са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вета за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високо образовање.</w:t>
                  </w:r>
                  <w:r w:rsidR="0081276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502374">
                    <w:rPr>
                      <w:rFonts w:ascii="Cambria" w:hAnsi="Cambria"/>
                    </w:rPr>
                    <w:t>Стандарди к</w:t>
                  </w:r>
                  <w:r w:rsidR="00BB5A36">
                    <w:rPr>
                      <w:rFonts w:ascii="Cambria" w:hAnsi="Cambria"/>
                    </w:rPr>
                    <w:t>валитет</w:t>
                  </w:r>
                  <w:r w:rsidR="00502374">
                    <w:rPr>
                      <w:rFonts w:ascii="Cambria" w:hAnsi="Cambria"/>
                    </w:rPr>
                    <w:t>а</w:t>
                  </w:r>
                  <w:r w:rsidR="00BB5A36">
                    <w:rPr>
                      <w:rFonts w:ascii="Cambria" w:hAnsi="Cambria"/>
                    </w:rPr>
                    <w:t xml:space="preserve"> наставника и сарадника налазе се у </w:t>
                  </w:r>
                  <w:hyperlink r:id="rId11" w:history="1">
                    <w:r w:rsidR="00BB5A36" w:rsidRPr="00CC5161">
                      <w:rPr>
                        <w:rStyle w:val="Hyperlink"/>
                        <w:rFonts w:ascii="Cambria" w:hAnsi="Cambria"/>
                      </w:rPr>
                      <w:t>Правилнику о стандардима и поступцима за самовредновање и унутрашње обе</w:t>
                    </w:r>
                    <w:r w:rsidR="00271186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BB5A36" w:rsidRPr="00CC5161">
                      <w:rPr>
                        <w:rStyle w:val="Hyperlink"/>
                        <w:rFonts w:ascii="Cambria" w:hAnsi="Cambria"/>
                      </w:rPr>
                      <w:t>збеђење квалитета</w:t>
                    </w:r>
                  </w:hyperlink>
                  <w:r w:rsidR="00812767">
                    <w:t xml:space="preserve">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 w:rsidR="00502374">
                    <w:rPr>
                      <w:rFonts w:ascii="Cambria" w:hAnsi="Cambria"/>
                    </w:rPr>
                    <w:t xml:space="preserve"> (чл. 71 до 78)</w:t>
                  </w:r>
                  <w:r w:rsidR="00BB5A36">
                    <w:rPr>
                      <w:rFonts w:ascii="Cambria" w:hAnsi="Cambria"/>
                    </w:rPr>
                    <w:t>.</w:t>
                  </w:r>
                  <w:r w:rsidR="00502374">
                    <w:rPr>
                      <w:rFonts w:ascii="Cambria" w:hAnsi="Cambria"/>
                    </w:rPr>
                    <w:t xml:space="preserve"> Овај Правилник се бави и поступцима, односно начинима за обезбеђење квалитета наставн</w:t>
                  </w:r>
                  <w:r w:rsidR="00812767">
                    <w:rPr>
                      <w:rFonts w:ascii="Cambria" w:hAnsi="Cambria"/>
                    </w:rPr>
                    <w:t>и</w:t>
                  </w:r>
                  <w:r w:rsidR="00502374">
                    <w:rPr>
                      <w:rFonts w:ascii="Cambria" w:hAnsi="Cambria"/>
                    </w:rPr>
                    <w:t>ка и сарадника (чл. 79 до 85).</w:t>
                  </w:r>
                </w:p>
                <w:p w:rsidR="00AD2E2D" w:rsidRPr="004260C9" w:rsidRDefault="00AD2E2D" w:rsidP="00111A5E">
                  <w:pPr>
                    <w:pStyle w:val="BodyText"/>
                    <w:spacing w:after="60"/>
                    <w:jc w:val="both"/>
                    <w:rPr>
                      <w:rFonts w:ascii="Cambria" w:hAnsi="Cambria"/>
                      <w:bCs/>
                    </w:rPr>
                  </w:pPr>
                  <w:r w:rsidRPr="003C0403">
                    <w:rPr>
                      <w:rFonts w:ascii="Cambria" w:hAnsi="Cambria"/>
                    </w:rPr>
                    <w:t>Тренутно</w:t>
                  </w:r>
                  <w:r w:rsidR="004F554E">
                    <w:rPr>
                      <w:rFonts w:ascii="Cambria" w:hAnsi="Cambria"/>
                    </w:rPr>
                    <w:t xml:space="preserve"> (школска </w:t>
                  </w:r>
                  <w:r w:rsidR="004F554E" w:rsidRPr="004260C9">
                    <w:rPr>
                      <w:rFonts w:ascii="Cambria" w:hAnsi="Cambria"/>
                    </w:rPr>
                    <w:t>2024/25)</w:t>
                  </w:r>
                  <w:r w:rsidRPr="004260C9">
                    <w:rPr>
                      <w:rFonts w:ascii="Cambria" w:hAnsi="Cambria"/>
                    </w:rPr>
                    <w:t xml:space="preserve">, </w:t>
                  </w:r>
                  <w:r w:rsidR="0028267C" w:rsidRPr="004260C9">
                    <w:rPr>
                      <w:rFonts w:ascii="Cambria" w:hAnsi="Cambria"/>
                    </w:rPr>
                    <w:t>Академија</w:t>
                  </w:r>
                  <w:r w:rsidR="00DA4AAB" w:rsidRPr="004260C9">
                    <w:rPr>
                      <w:rFonts w:ascii="Cambria" w:hAnsi="Cambria"/>
                    </w:rPr>
                    <w:t xml:space="preserve"> има </w:t>
                  </w:r>
                  <w:r w:rsidR="00245646">
                    <w:rPr>
                      <w:rFonts w:ascii="Cambria" w:hAnsi="Cambria"/>
                    </w:rPr>
                    <w:t xml:space="preserve">у радном односу </w:t>
                  </w:r>
                  <w:r w:rsidR="00DA4AAB" w:rsidRPr="004260C9">
                    <w:rPr>
                      <w:rFonts w:ascii="Cambria" w:hAnsi="Cambria"/>
                    </w:rPr>
                    <w:t xml:space="preserve">укупно </w:t>
                  </w:r>
                  <w:r w:rsidR="00145AD3" w:rsidRPr="004260C9">
                    <w:rPr>
                      <w:rFonts w:ascii="Cambria" w:hAnsi="Cambria"/>
                    </w:rPr>
                    <w:t>8</w:t>
                  </w:r>
                  <w:r w:rsidR="00051CA4">
                    <w:rPr>
                      <w:rFonts w:ascii="Cambria" w:hAnsi="Cambria"/>
                    </w:rPr>
                    <w:t>2</w:t>
                  </w:r>
                  <w:r w:rsidR="00145AD3" w:rsidRPr="004260C9">
                    <w:rPr>
                      <w:rFonts w:ascii="Cambria" w:hAnsi="Cambria"/>
                    </w:rPr>
                    <w:t xml:space="preserve"> </w:t>
                  </w:r>
                  <w:r w:rsidR="00DA4AAB" w:rsidRPr="004260C9">
                    <w:rPr>
                      <w:rFonts w:ascii="Cambria" w:hAnsi="Cambria"/>
                    </w:rPr>
                    <w:t>наставника.</w:t>
                  </w:r>
                  <w:r w:rsidR="00DA4AAB" w:rsidRPr="004260C9">
                    <w:rPr>
                      <w:rFonts w:ascii="Cambria" w:hAnsi="Cambria"/>
                      <w:color w:val="FF0000"/>
                    </w:rPr>
                    <w:t xml:space="preserve"> </w:t>
                  </w:r>
                  <w:r w:rsidR="00DA4AAB" w:rsidRPr="004260C9">
                    <w:rPr>
                      <w:rFonts w:ascii="Cambria" w:hAnsi="Cambria"/>
                    </w:rPr>
                    <w:t xml:space="preserve">Од тог броја, </w:t>
                  </w:r>
                  <w:r w:rsidR="00145AD3" w:rsidRPr="004260C9">
                    <w:rPr>
                      <w:rFonts w:ascii="Cambria" w:hAnsi="Cambria"/>
                    </w:rPr>
                    <w:t>7</w:t>
                  </w:r>
                  <w:r w:rsidR="00051CA4">
                    <w:rPr>
                      <w:rFonts w:ascii="Cambria" w:hAnsi="Cambria"/>
                    </w:rPr>
                    <w:t>1</w:t>
                  </w:r>
                  <w:r w:rsidR="00145AD3" w:rsidRPr="004260C9">
                    <w:rPr>
                      <w:rFonts w:ascii="Cambria" w:hAnsi="Cambria"/>
                    </w:rPr>
                    <w:t xml:space="preserve"> </w:t>
                  </w:r>
                  <w:r w:rsidR="00DA4AAB" w:rsidRPr="004260C9">
                    <w:rPr>
                      <w:rFonts w:ascii="Cambria" w:hAnsi="Cambria"/>
                    </w:rPr>
                    <w:t>наставник је у радном односу 100%,</w:t>
                  </w:r>
                  <w:r w:rsidR="00145AD3" w:rsidRPr="004260C9">
                    <w:rPr>
                      <w:rFonts w:ascii="Cambria" w:hAnsi="Cambria"/>
                    </w:rPr>
                    <w:t xml:space="preserve"> док је </w:t>
                  </w:r>
                  <w:r w:rsidR="00051CA4">
                    <w:rPr>
                      <w:rFonts w:ascii="Cambria" w:hAnsi="Cambria"/>
                    </w:rPr>
                    <w:t>10</w:t>
                  </w:r>
                  <w:r w:rsidR="00145AD3" w:rsidRPr="004260C9">
                    <w:rPr>
                      <w:rFonts w:ascii="Cambria" w:hAnsi="Cambria"/>
                    </w:rPr>
                    <w:t xml:space="preserve"> наставника у радном односу са 2,5%</w:t>
                  </w:r>
                  <w:r w:rsidR="00051CA4">
                    <w:rPr>
                      <w:rFonts w:ascii="Cambria" w:hAnsi="Cambria"/>
                    </w:rPr>
                    <w:t xml:space="preserve"> и један са 50%</w:t>
                  </w:r>
                  <w:r w:rsidR="00145AD3" w:rsidRPr="004260C9">
                    <w:rPr>
                      <w:rFonts w:ascii="Cambria" w:hAnsi="Cambria"/>
                    </w:rPr>
                    <w:t>. А</w:t>
                  </w:r>
                  <w:r w:rsidR="00DA4AAB" w:rsidRPr="004260C9">
                    <w:rPr>
                      <w:rFonts w:ascii="Cambria" w:hAnsi="Cambria"/>
                    </w:rPr>
                    <w:t xml:space="preserve">нгажованих наставника </w:t>
                  </w:r>
                  <w:r w:rsidR="00145AD3" w:rsidRPr="004260C9">
                    <w:rPr>
                      <w:rFonts w:ascii="Cambria" w:hAnsi="Cambria"/>
                    </w:rPr>
                    <w:t>по уговору је 10</w:t>
                  </w:r>
                  <w:r w:rsidR="00DF12B4">
                    <w:rPr>
                      <w:rFonts w:ascii="Cambria" w:hAnsi="Cambria"/>
                    </w:rPr>
                    <w:t xml:space="preserve"> и равномерно су распоређени по одсецима</w:t>
                  </w:r>
                  <w:r w:rsidR="00145AD3" w:rsidRPr="004260C9">
                    <w:rPr>
                      <w:rFonts w:ascii="Cambria" w:hAnsi="Cambria"/>
                    </w:rPr>
                    <w:t>. Највећи број наставника са радним односом од 100% има Одсек Ниш, 32, док Одсек Врање има 2</w:t>
                  </w:r>
                  <w:r w:rsidR="00051CA4">
                    <w:rPr>
                      <w:rFonts w:ascii="Cambria" w:hAnsi="Cambria"/>
                    </w:rPr>
                    <w:t>2</w:t>
                  </w:r>
                  <w:r w:rsidR="00145AD3" w:rsidRPr="004260C9">
                    <w:rPr>
                      <w:rFonts w:ascii="Cambria" w:hAnsi="Cambria"/>
                    </w:rPr>
                    <w:t xml:space="preserve"> таквог наставника, а Одсек Пирот 18.</w:t>
                  </w:r>
                  <w:r w:rsidR="00145AD3" w:rsidRPr="004260C9">
                    <w:rPr>
                      <w:rFonts w:ascii="Cambria" w:hAnsi="Cambria"/>
                      <w:color w:val="FF0000"/>
                    </w:rPr>
                    <w:t xml:space="preserve"> </w:t>
                  </w:r>
                  <w:r w:rsidR="009A406D" w:rsidRPr="004260C9">
                    <w:rPr>
                      <w:rFonts w:ascii="Cambria" w:hAnsi="Cambria"/>
                      <w:bCs/>
                      <w:lang w:val="sr-Cyrl-CS"/>
                    </w:rPr>
                    <w:t xml:space="preserve">Наставници и сарадници </w:t>
                  </w:r>
                  <w:r w:rsidR="00CC5161" w:rsidRPr="004260C9">
                    <w:rPr>
                      <w:rFonts w:ascii="Cambria" w:hAnsi="Cambria"/>
                      <w:bCs/>
                      <w:lang w:val="sr-Cyrl-CS"/>
                    </w:rPr>
                    <w:t>Академије</w:t>
                  </w:r>
                  <w:r w:rsidR="009A406D" w:rsidRPr="004260C9">
                    <w:rPr>
                      <w:rFonts w:ascii="Cambria" w:hAnsi="Cambria"/>
                      <w:bCs/>
                      <w:lang w:val="sr-Cyrl-CS"/>
                    </w:rPr>
                    <w:t xml:space="preserve"> бирани</w:t>
                  </w:r>
                  <w:r w:rsidR="00CC5161" w:rsidRPr="004260C9">
                    <w:rPr>
                      <w:rFonts w:ascii="Cambria" w:hAnsi="Cambria"/>
                      <w:bCs/>
                      <w:lang w:val="sr-Cyrl-CS"/>
                    </w:rPr>
                    <w:t xml:space="preserve"> су</w:t>
                  </w:r>
                  <w:r w:rsidR="009A406D" w:rsidRPr="004260C9">
                    <w:rPr>
                      <w:rFonts w:ascii="Cambria" w:hAnsi="Cambria"/>
                      <w:bCs/>
                      <w:lang w:val="sr-Cyrl-CS"/>
                    </w:rPr>
                    <w:t xml:space="preserve"> за уже стручне области, у оквиру </w:t>
                  </w:r>
                  <w:r w:rsidR="00DC20D7" w:rsidRPr="004260C9">
                    <w:rPr>
                      <w:rFonts w:ascii="Cambria" w:hAnsi="Cambria"/>
                      <w:szCs w:val="22"/>
                    </w:rPr>
                    <w:t xml:space="preserve">техничко-технолошког, </w:t>
                  </w:r>
                  <w:r w:rsidR="00DC20D7" w:rsidRPr="004260C9">
                    <w:rPr>
                      <w:rFonts w:ascii="Cambria" w:hAnsi="Cambria"/>
                    </w:rPr>
                    <w:t xml:space="preserve">друштвено-хуманистичког, природно-математичког, уметничког и медицинског поља. Када je реч о сарадницима, њихов број на нивоу целе Академије је </w:t>
                  </w:r>
                  <w:r w:rsidR="00C71FB6" w:rsidRPr="004260C9">
                    <w:rPr>
                      <w:rFonts w:ascii="Cambria" w:hAnsi="Cambria"/>
                    </w:rPr>
                    <w:t xml:space="preserve">32, од чега </w:t>
                  </w:r>
                  <w:r w:rsidR="00DF12B4">
                    <w:rPr>
                      <w:rFonts w:ascii="Cambria" w:hAnsi="Cambria"/>
                    </w:rPr>
                    <w:t>29</w:t>
                  </w:r>
                  <w:r w:rsidR="00C71FB6" w:rsidRPr="004260C9">
                    <w:rPr>
                      <w:rFonts w:ascii="Cambria" w:hAnsi="Cambria"/>
                    </w:rPr>
                    <w:t xml:space="preserve"> са 100% радног времена</w:t>
                  </w:r>
                  <w:r w:rsidR="00DF12B4">
                    <w:rPr>
                      <w:rFonts w:ascii="Cambria" w:hAnsi="Cambria"/>
                    </w:rPr>
                    <w:t>, један са 80% и један са 50%  радног времена, док је један сарадник</w:t>
                  </w:r>
                  <w:r w:rsidR="00C71FB6" w:rsidRPr="004260C9">
                    <w:rPr>
                      <w:rFonts w:ascii="Cambria" w:hAnsi="Cambria"/>
                    </w:rPr>
                    <w:t xml:space="preserve"> ангажован по уговору. Највећи број сарадника има Одсек Ниш и то 18, док Одсек Врање има 9, а Одсек Пирот 5. </w:t>
                  </w:r>
                </w:p>
                <w:p w:rsidR="00111A5E" w:rsidRPr="006E0EA9" w:rsidRDefault="004F554E" w:rsidP="00111A5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Квалитет наставника и сарадника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>
                    <w:rPr>
                      <w:rFonts w:ascii="Cambria" w:hAnsi="Cambria"/>
                    </w:rPr>
                    <w:t>, обезбеђује се пажљивим планирањем и избором на основу јавног поступка, ства</w:t>
                  </w:r>
                  <w:r w:rsidR="00502374">
                    <w:rPr>
                      <w:rFonts w:ascii="Cambria" w:hAnsi="Cambria"/>
                    </w:rPr>
                    <w:t xml:space="preserve">рањем услова за перманентну едукацију и развој наставника и сарадника и провером квалитета њиховог рада у настави. </w:t>
                  </w:r>
                  <w:r w:rsidR="003363F4">
                    <w:rPr>
                      <w:rFonts w:ascii="Cambria" w:hAnsi="Cambria"/>
                    </w:rPr>
                    <w:t>Ака</w:t>
                  </w:r>
                  <w:r w:rsidR="00111A5E">
                    <w:rPr>
                      <w:rFonts w:ascii="Cambria" w:hAnsi="Cambria"/>
                    </w:rPr>
                    <w:t>-</w:t>
                  </w:r>
                  <w:r w:rsidR="003363F4">
                    <w:rPr>
                      <w:rFonts w:ascii="Cambria" w:hAnsi="Cambria"/>
                    </w:rPr>
                    <w:t xml:space="preserve">демија </w:t>
                  </w:r>
                  <w:r w:rsidR="00AD2E2D" w:rsidRPr="003C0403">
                    <w:rPr>
                      <w:rFonts w:ascii="Cambria" w:hAnsi="Cambria"/>
                    </w:rPr>
                    <w:t>пажљиво води политику везану за запошљавање и избор наставног кадра. С тим у вези</w:t>
                  </w:r>
                  <w:r w:rsidR="004B5FE3">
                    <w:rPr>
                      <w:rFonts w:ascii="Cambria" w:hAnsi="Cambria"/>
                    </w:rPr>
                    <w:t>,</w:t>
                  </w:r>
                  <w:r w:rsidR="00AD2E2D" w:rsidRPr="003C0403">
                    <w:rPr>
                      <w:rFonts w:ascii="Cambria" w:hAnsi="Cambria"/>
                    </w:rPr>
                    <w:t xml:space="preserve"> периодично</w:t>
                  </w:r>
                  <w:r w:rsidR="00111A5E">
                    <w:rPr>
                      <w:rFonts w:ascii="Cambria" w:hAnsi="Cambria"/>
                    </w:rPr>
                    <w:t>,</w:t>
                  </w:r>
                  <w:r w:rsidR="00AD2E2D" w:rsidRPr="003C0403">
                    <w:rPr>
                      <w:rFonts w:ascii="Cambria" w:hAnsi="Cambria"/>
                    </w:rPr>
                    <w:t xml:space="preserve"> на три године, </w:t>
                  </w:r>
                  <w:r w:rsidR="00111A5E">
                    <w:rPr>
                      <w:rFonts w:ascii="Cambria" w:hAnsi="Cambria"/>
                    </w:rPr>
                    <w:t xml:space="preserve">Председник Академије </w:t>
                  </w:r>
                  <w:r w:rsidR="00111A5E" w:rsidRPr="006E0EA9">
                    <w:rPr>
                      <w:rFonts w:ascii="Cambria" w:hAnsi="Cambria"/>
                    </w:rPr>
                    <w:t xml:space="preserve">доноси Програм развоја наставног кадра, </w:t>
                  </w:r>
                  <w:r w:rsidR="00AD2E2D" w:rsidRPr="006E0EA9">
                    <w:rPr>
                      <w:rFonts w:ascii="Cambria" w:hAnsi="Cambria"/>
                    </w:rPr>
                    <w:t>на основу анализе и предлога већа катедри</w:t>
                  </w:r>
                  <w:r w:rsidR="00111A5E" w:rsidRPr="006E0EA9">
                    <w:rPr>
                      <w:rFonts w:ascii="Cambria" w:hAnsi="Cambria"/>
                    </w:rPr>
                    <w:t xml:space="preserve"> и Наставно-стручног већа Академије</w:t>
                  </w:r>
                  <w:r w:rsidR="00AD2E2D" w:rsidRPr="006E0EA9">
                    <w:rPr>
                      <w:rFonts w:ascii="Cambria" w:hAnsi="Cambria"/>
                    </w:rPr>
                    <w:t xml:space="preserve">. </w:t>
                  </w:r>
                  <w:r w:rsidR="00111A5E" w:rsidRPr="006E0EA9">
                    <w:rPr>
                      <w:rFonts w:ascii="Cambria" w:hAnsi="Cambria"/>
                    </w:rPr>
                    <w:t>Такође, Наставно-стручно веће Академије треба за текућу школску годину да донесе и План потреба наставног кадра.</w:t>
                  </w:r>
                </w:p>
                <w:p w:rsidR="004B5FE3" w:rsidRPr="00502374" w:rsidRDefault="004F554E" w:rsidP="00111A5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6E0EA9">
                    <w:rPr>
                      <w:rFonts w:ascii="Cambria" w:hAnsi="Cambria"/>
                    </w:rPr>
                    <w:t>Све ово регулисано је горепоменутим Правилником о избору у звање и заснивању</w:t>
                  </w:r>
                  <w:r>
                    <w:rPr>
                      <w:rFonts w:ascii="Cambria" w:hAnsi="Cambria"/>
                    </w:rPr>
                    <w:t xml:space="preserve"> радног односа. 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>У случају изненадне потребе за наставником или сарадником (због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>непредвиђених околности), поступа се према устаљеној пракси у установи, а у складу са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 xml:space="preserve">правним актима </w:t>
                  </w:r>
                  <w:r w:rsidR="006F640B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 xml:space="preserve"> и Закона о високом образовању.</w:t>
                  </w:r>
                </w:p>
                <w:p w:rsidR="006C5E41" w:rsidRDefault="004B5FE3" w:rsidP="006F640B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>Квалитет наставника и сарадника осигурава се систематичним процесом плани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lastRenderedPageBreak/>
                    <w:t>рања и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селекције на основу транспарентних јавних конкурса, који се објављују у дневним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F640B">
                    <w:rPr>
                      <w:rFonts w:ascii="Cambria" w:hAnsi="Cambria"/>
                      <w:lang w:val="ru-RU"/>
                    </w:rPr>
                    <w:t xml:space="preserve">новинама. </w:t>
                  </w:r>
                  <w:r w:rsidRPr="004B5FE3">
                    <w:rPr>
                      <w:rFonts w:ascii="Cambria" w:hAnsi="Cambria"/>
                      <w:lang w:val="ru-RU"/>
                    </w:rPr>
                    <w:t>Критеријуми и процедуре за избор кандидата су унапред дефинисани, јавно доступни и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отворени за преглед широј јавности. У складу са стратегијом запошљавања, анализом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потреба за кадровима и препорукама стручних тела, председник </w:t>
                  </w:r>
                  <w:r w:rsidR="006F640B">
                    <w:rPr>
                      <w:rFonts w:ascii="Cambria" w:hAnsi="Cambria"/>
                    </w:rPr>
                    <w:t>Академије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иницира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конкурс за избор у звања и радне односе. Конкурс садржи назив звања, уже области закоје се врши избор са назнаком да ли се радни однос заснива са пуним или непуним</w:t>
                  </w:r>
                  <w:r>
                    <w:rPr>
                      <w:rFonts w:ascii="Cambria" w:hAnsi="Cambria"/>
                    </w:rPr>
                    <w:t xml:space="preserve"> р</w:t>
                  </w:r>
                  <w:r w:rsidRPr="004B5FE3">
                    <w:rPr>
                      <w:rFonts w:ascii="Cambria" w:hAnsi="Cambria"/>
                      <w:lang w:val="ru-RU"/>
                    </w:rPr>
                    <w:t>адним временом, на неодређено или одређено радно време, рок за пријављивање и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потребну документацију коју уче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>сници конкурса прилажу као доказе о испуњавању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услова. Комисија за израду извештаја</w:t>
                  </w:r>
                  <w:r>
                    <w:rPr>
                      <w:rFonts w:ascii="Cambria" w:hAnsi="Cambria"/>
                      <w:lang w:val="ru-RU"/>
                    </w:rPr>
                    <w:t xml:space="preserve"> за избор</w:t>
                  </w:r>
                  <w:r w:rsidRPr="004B5FE3">
                    <w:rPr>
                      <w:rFonts w:ascii="Cambria" w:hAnsi="Cambria"/>
                      <w:lang w:val="ru-RU"/>
                    </w:rPr>
                    <w:t>, састављена од троје наставника истог или вишегзвања из релевантне области, анализира пријаве и објављује извештај на интернет порталу и у</w:t>
                  </w:r>
                  <w:r>
                    <w:rPr>
                      <w:rFonts w:ascii="Cambria" w:hAnsi="Cambria"/>
                      <w:lang w:val="ru-RU"/>
                    </w:rPr>
                    <w:t>библиотеци</w:t>
                  </w:r>
                  <w:r w:rsidRPr="004B5FE3">
                    <w:rPr>
                      <w:rFonts w:ascii="Cambria" w:hAnsi="Cambria"/>
                      <w:lang w:val="ru-RU"/>
                    </w:rPr>
                    <w:t>, чиме се осигурава потпуна транспарентност целог процеса.</w:t>
                  </w:r>
                </w:p>
                <w:p w:rsidR="004B5FE3" w:rsidRPr="006C5E41" w:rsidRDefault="00FA3CBF" w:rsidP="006F640B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hyperlink r:id="rId12" w:history="1">
                    <w:r w:rsidR="001C4F9F" w:rsidRPr="00322EEF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избору у звање и заснивању радног односа наставног особља</w:t>
                    </w:r>
                  </w:hyperlink>
                  <w:r w:rsidR="001C4F9F" w:rsidRPr="0017525C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F7014E">
                    <w:rPr>
                      <w:rFonts w:ascii="Cambria" w:hAnsi="Cambria"/>
                      <w:lang w:val="ru-RU"/>
                    </w:rPr>
                    <w:t>демије</w:t>
                  </w:r>
                  <w:r w:rsidR="00322EEF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садржи и 5 образаца на</w:t>
                  </w:r>
                  <w:r w:rsidR="004B5FE3">
                    <w:rPr>
                      <w:rFonts w:ascii="Cambria" w:hAnsi="Cambria"/>
                      <w:lang w:val="ru-RU"/>
                    </w:rPr>
                    <w:t>словљен</w:t>
                  </w:r>
                  <w:r w:rsidR="00F7014E">
                    <w:rPr>
                      <w:rFonts w:ascii="Cambria" w:hAnsi="Cambria"/>
                      <w:lang w:val="ru-RU"/>
                    </w:rPr>
                    <w:t>их</w:t>
                  </w:r>
                  <w:r w:rsidR="004B5FE3">
                    <w:rPr>
                      <w:rFonts w:ascii="Cambria" w:hAnsi="Cambria"/>
                      <w:lang w:val="ru-RU"/>
                    </w:rPr>
                    <w:t xml:space="preserve"> као: 1) Изјава о сукоб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у интереса; 2) Оцена о</w:t>
                  </w:r>
                  <w:r w:rsidR="00547624">
                    <w:rPr>
                      <w:rFonts w:ascii="Cambria" w:hAnsi="Cambria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резултатима педагошког рада; 3) Оцена о ангажовању у развоју наставе и развоју других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делатности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; 4) Преглед резултата научног и стручног рада; 5) Оцена о развоју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наставног подмлатка. Наведени обрасци представљају показатеље који се</w:t>
                  </w:r>
                  <w:r w:rsidR="00547624">
                    <w:rPr>
                      <w:rFonts w:ascii="Cambria" w:hAnsi="Cambria"/>
                      <w:lang w:val="ru-RU"/>
                    </w:rPr>
                    <w:t>,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 поред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осталог, анализирају и разматрају </w:t>
                  </w:r>
                  <w:r w:rsidR="00547624">
                    <w:rPr>
                      <w:rFonts w:ascii="Cambria" w:hAnsi="Cambria"/>
                      <w:lang w:val="ru-RU"/>
                    </w:rPr>
                    <w:t>приликом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 оцене квалитета бираног наста</w:t>
                  </w:r>
                  <w:r w:rsidR="00547624">
                    <w:rPr>
                      <w:rFonts w:ascii="Cambria" w:hAnsi="Cambria"/>
                      <w:lang w:val="ru-RU"/>
                    </w:rPr>
                    <w:t>-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вника и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сарадника</w:t>
                  </w:r>
                  <w:r w:rsidR="004B5FE3">
                    <w:rPr>
                      <w:rFonts w:ascii="Cambria" w:hAnsi="Cambria"/>
                      <w:lang w:val="ru-RU"/>
                    </w:rPr>
                    <w:t>.</w:t>
                  </w:r>
                </w:p>
                <w:p w:rsidR="001B0E55" w:rsidRDefault="004B5FE3" w:rsidP="00F7014E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 xml:space="preserve">У </w:t>
                  </w:r>
                  <w:r>
                    <w:rPr>
                      <w:rFonts w:ascii="Cambria" w:hAnsi="Cambria"/>
                      <w:lang w:val="ru-RU"/>
                    </w:rPr>
                    <w:t>А</w:t>
                  </w:r>
                  <w:r w:rsidR="00F7014E">
                    <w:rPr>
                      <w:rFonts w:ascii="Cambria" w:hAnsi="Cambria"/>
                      <w:lang w:val="ru-RU"/>
                    </w:rPr>
                    <w:t>кадемији</w:t>
                  </w:r>
                  <w:r w:rsidRPr="004B5FE3">
                    <w:rPr>
                      <w:rFonts w:ascii="Cambria" w:hAnsi="Cambria"/>
                      <w:lang w:val="ru-RU"/>
                    </w:rPr>
                    <w:t>, систематичн</w:t>
                  </w:r>
                  <w:r w:rsidR="001B0E55">
                    <w:rPr>
                      <w:rFonts w:ascii="Cambria" w:hAnsi="Cambria"/>
                      <w:lang w:val="ru-RU"/>
                    </w:rPr>
                    <w:t>им</w:t>
                  </w:r>
                  <w:r w:rsidR="00F64E0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1B0E55">
                    <w:rPr>
                      <w:rFonts w:ascii="Cambria" w:hAnsi="Cambria"/>
                      <w:lang w:val="ru-RU"/>
                    </w:rPr>
                    <w:t xml:space="preserve">праћењем обима и квалитета педагошког рада баве се Поткомисије за самовредновање и унутрашње обезбеђење отпада (на нивоу одсека) и наравно Комисија за самовредновање и унутрашње обезбеђење квалитета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1B0E55">
                    <w:rPr>
                      <w:rFonts w:ascii="Cambria" w:hAnsi="Cambria"/>
                      <w:lang w:val="ru-RU"/>
                    </w:rPr>
                    <w:t xml:space="preserve">. Поткомисије су дужне да два пута годишње саставе извештај о обиму  и квалитету стручног и педагошког рада наставника и сарадника и да их доставе Наставно-стручном већу одсека. Извештаји се праве на основу резултата анонимне </w:t>
                  </w:r>
                  <w:r w:rsidR="001B0E55" w:rsidRPr="004B5FE3">
                    <w:rPr>
                      <w:rFonts w:ascii="Cambria" w:hAnsi="Cambria"/>
                      <w:lang w:val="ru-RU"/>
                    </w:rPr>
                    <w:t>студентске анкете која се односи на педаго</w:t>
                  </w:r>
                  <w:r w:rsidR="001B0E55">
                    <w:rPr>
                      <w:rFonts w:ascii="Cambria" w:hAnsi="Cambria"/>
                      <w:lang w:val="ru-RU"/>
                    </w:rPr>
                    <w:t>шки рад наставника и сарадника (анкете се раде на крају сваког семестра)</w:t>
                  </w:r>
                  <w:r w:rsidR="002025D6">
                    <w:rPr>
                      <w:rFonts w:ascii="Cambria" w:hAnsi="Cambria"/>
                      <w:lang w:val="ru-RU"/>
                    </w:rPr>
                    <w:t xml:space="preserve"> и анализира</w:t>
                  </w:r>
                  <w:r w:rsidR="00547624">
                    <w:rPr>
                      <w:rFonts w:ascii="Cambria" w:hAnsi="Cambria"/>
                      <w:lang w:val="ru-RU"/>
                    </w:rPr>
                    <w:t>ју на већима катедри и Наставно-</w:t>
                  </w:r>
                  <w:r w:rsidR="002025D6">
                    <w:rPr>
                      <w:rFonts w:ascii="Cambria" w:hAnsi="Cambria"/>
                      <w:lang w:val="ru-RU"/>
                    </w:rPr>
                    <w:t>стручним већима одсека, при чему се наставници чији је рад оцењен негативно, подстичу</w:t>
                  </w:r>
                  <w:r w:rsidR="00F7014E">
                    <w:rPr>
                      <w:rFonts w:ascii="Cambria" w:hAnsi="Cambria"/>
                      <w:lang w:val="ru-RU"/>
                    </w:rPr>
                    <w:t>,</w:t>
                  </w:r>
                  <w:r w:rsidR="002025D6">
                    <w:rPr>
                      <w:rFonts w:ascii="Cambria" w:hAnsi="Cambria"/>
                      <w:lang w:val="ru-RU"/>
                    </w:rPr>
                    <w:t xml:space="preserve"> да путем корективних мера</w:t>
                  </w:r>
                  <w:r w:rsidR="00F7014E">
                    <w:rPr>
                      <w:rFonts w:ascii="Cambria" w:hAnsi="Cambria"/>
                      <w:lang w:val="ru-RU"/>
                    </w:rPr>
                    <w:t>,</w:t>
                  </w:r>
                  <w:r w:rsidR="002025D6">
                    <w:rPr>
                      <w:rFonts w:ascii="Cambria" w:hAnsi="Cambria"/>
                      <w:lang w:val="ru-RU"/>
                    </w:rPr>
                    <w:t xml:space="preserve"> унапреде свој стручни и педагошки рад</w:t>
                  </w:r>
                  <w:r w:rsidR="001B0E55">
                    <w:rPr>
                      <w:rFonts w:ascii="Cambria" w:hAnsi="Cambria"/>
                      <w:lang w:val="ru-RU"/>
                    </w:rPr>
                    <w:t>.</w:t>
                  </w:r>
                </w:p>
                <w:p w:rsidR="00AB61B2" w:rsidRPr="006E0EA9" w:rsidRDefault="002025D6" w:rsidP="00F7014E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Једном г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одишње</w:t>
                  </w:r>
                  <w:r>
                    <w:rPr>
                      <w:rFonts w:ascii="Cambria" w:hAnsi="Cambria"/>
                      <w:lang w:val="ru-RU"/>
                    </w:rPr>
                    <w:t xml:space="preserve"> и</w:t>
                  </w:r>
                  <w:r w:rsidR="00F64E0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Комисија за научно-истраживачку делатност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Академије би треба</w:t>
                  </w:r>
                  <w:r w:rsidR="00547624">
                    <w:rPr>
                      <w:rFonts w:ascii="Cambria" w:hAnsi="Cambria"/>
                      <w:lang w:val="ru-RU"/>
                    </w:rPr>
                    <w:t>-</w:t>
                  </w:r>
                  <w:r w:rsidR="00F7014E">
                    <w:rPr>
                      <w:rFonts w:ascii="Cambria" w:hAnsi="Cambria"/>
                      <w:lang w:val="ru-RU"/>
                    </w:rPr>
                    <w:t xml:space="preserve">ло да 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поднесе И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звештај о научно-истраживачким активностима наставника и сара</w:t>
                  </w:r>
                  <w:r w:rsidR="00547624" w:rsidRPr="006E0EA9">
                    <w:rPr>
                      <w:rFonts w:ascii="Cambria" w:hAnsi="Cambria"/>
                      <w:lang w:val="ru-RU"/>
                    </w:rPr>
                    <w:t>-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дника на седници Наставно</w:t>
                  </w:r>
                  <w:r w:rsidR="00AB61B2" w:rsidRPr="006E0EA9">
                    <w:rPr>
                      <w:rFonts w:ascii="Cambria" w:hAnsi="Cambria"/>
                      <w:lang w:val="ru-RU"/>
                    </w:rPr>
                    <w:t xml:space="preserve">-стручног већа 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AB61B2" w:rsidRPr="006E0EA9">
                    <w:rPr>
                      <w:rFonts w:ascii="Cambria" w:hAnsi="Cambria"/>
                      <w:lang w:val="ru-RU"/>
                    </w:rPr>
                    <w:t xml:space="preserve"> и</w:t>
                  </w:r>
                  <w:r w:rsidR="006D6BF0" w:rsidRPr="006E0EA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предл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о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ж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и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 xml:space="preserve"> кораке за уна</w:t>
                  </w:r>
                  <w:r w:rsidR="00547624" w:rsidRPr="006E0EA9">
                    <w:rPr>
                      <w:rFonts w:ascii="Cambria" w:hAnsi="Cambria"/>
                      <w:lang w:val="ru-RU"/>
                    </w:rPr>
                    <w:t>-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пређење ових активности.</w:t>
                  </w:r>
                </w:p>
                <w:p w:rsidR="006D6BF0" w:rsidRDefault="004B5FE3" w:rsidP="00F7014E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 xml:space="preserve">Посебну пажњу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посвећује развоју постојећег наставног кадра кроз разли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>чите</w:t>
                  </w:r>
                  <w:r w:rsidR="00F64E0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мере стимулисања и подршке. Овај процес под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ржава се кроз примену одређених </w:t>
                  </w:r>
                  <w:r w:rsidRPr="004B5FE3">
                    <w:rPr>
                      <w:rFonts w:ascii="Cambria" w:hAnsi="Cambria"/>
                      <w:lang w:val="ru-RU"/>
                    </w:rPr>
                    <w:t>правилника (</w:t>
                  </w:r>
                  <w:hyperlink r:id="rId13" w:history="1"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стручном и научном усавршавању наставника и сарадника</w:t>
                    </w:r>
                    <w:r w:rsidR="006D6BF0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 </w:t>
                    </w:r>
                    <w:r w:rsidR="00F7014E"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Академије</w:t>
                    </w:r>
                  </w:hyperlink>
                  <w:r w:rsidRPr="004B5FE3">
                    <w:rPr>
                      <w:rFonts w:ascii="Cambria" w:hAnsi="Cambria"/>
                      <w:lang w:val="ru-RU"/>
                    </w:rPr>
                    <w:t>) и одлука (</w:t>
                  </w:r>
                  <w:hyperlink r:id="rId14" w:history="1"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Одлука о средствима опредељеним за подстицај научноистраживачког рада</w:t>
                    </w:r>
                  </w:hyperlink>
                  <w:r w:rsidRPr="004B5FE3">
                    <w:rPr>
                      <w:rFonts w:ascii="Cambria" w:hAnsi="Cambria"/>
                      <w:lang w:val="ru-RU"/>
                    </w:rPr>
                    <w:t xml:space="preserve"> ради публиковања резултата </w:t>
                  </w:r>
                  <w:r w:rsidR="00AB61B2">
                    <w:rPr>
                      <w:rFonts w:ascii="Cambria" w:hAnsi="Cambria"/>
                      <w:lang w:val="ru-RU"/>
                    </w:rPr>
                    <w:t>у часописима и публи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кацијама са </w:t>
                  </w:r>
                  <w:r w:rsidRPr="004B5FE3">
                    <w:rPr>
                      <w:rFonts w:ascii="Cambria" w:hAnsi="Cambria"/>
                      <w:lang w:val="ru-RU"/>
                    </w:rPr>
                    <w:t>импакт фактором и стручног усавршавања),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 које регулишу стручно и научно </w:t>
                  </w:r>
                  <w:r w:rsidRPr="004B5FE3">
                    <w:rPr>
                      <w:rFonts w:ascii="Cambria" w:hAnsi="Cambria"/>
                      <w:lang w:val="ru-RU"/>
                    </w:rPr>
                    <w:t>усавршавање наставног кадра, као и финансирање активности које подстичу нау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чни и </w:t>
                  </w:r>
                  <w:r w:rsidRPr="004B5FE3">
                    <w:rPr>
                      <w:rFonts w:ascii="Cambria" w:hAnsi="Cambria"/>
                      <w:lang w:val="ru-RU"/>
                    </w:rPr>
                    <w:t>педагошки рад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(све до износа предвиђеног поменутим Правилником, а који у овом тренутку износи 120.000 динара за све наставнике и сараднике)</w:t>
                  </w:r>
                  <w:r w:rsidR="006D6BF0" w:rsidRPr="004B5FE3">
                    <w:rPr>
                      <w:rFonts w:ascii="Cambria" w:hAnsi="Cambria"/>
                      <w:lang w:val="ru-RU"/>
                    </w:rPr>
                    <w:t xml:space="preserve">. 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Поред тога, преко горепоменуте Одлуке регулише се и конкретна финасијска стимулација за објављивање радова са SCI </w:t>
                  </w:r>
                  <w:r w:rsidR="006D6BF0" w:rsidRPr="003B340B">
                    <w:rPr>
                      <w:rFonts w:ascii="Cambria" w:hAnsi="Cambria"/>
                      <w:lang w:val="ru-RU"/>
                    </w:rPr>
                    <w:t>индексацијом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, у износу од 25 до 45 хиљада динара, у зависности од категорије рада (највише за М21). </w:t>
                  </w:r>
                  <w:r w:rsidR="006D6BF0" w:rsidRPr="004B5FE3">
                    <w:rPr>
                      <w:rFonts w:ascii="Cambria" w:hAnsi="Cambria"/>
                      <w:lang w:val="ru-RU"/>
                    </w:rPr>
                    <w:t>Оваква подршка има за циљ да мотивише наставнике и сараднике да се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D6BF0" w:rsidRPr="004B5FE3">
                    <w:rPr>
                      <w:rFonts w:ascii="Cambria" w:hAnsi="Cambria"/>
                      <w:lang w:val="ru-RU"/>
                    </w:rPr>
                    <w:t>додатно ангажују у научним и педагошким активностима</w:t>
                  </w:r>
                  <w:r w:rsidR="006D6BF0">
                    <w:rPr>
                      <w:rFonts w:ascii="Cambria" w:hAnsi="Cambria"/>
                      <w:lang w:val="ru-RU"/>
                    </w:rPr>
                    <w:t>.</w:t>
                  </w:r>
                </w:p>
                <w:p w:rsidR="00BE69B0" w:rsidRDefault="004B5FE3" w:rsidP="006D6BF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>У к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онтексту стручног усавршавања,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подржава активности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наставн</w:t>
                  </w:r>
                  <w:r w:rsidR="00BE69B0">
                    <w:rPr>
                      <w:rFonts w:ascii="Cambria" w:hAnsi="Cambria"/>
                      <w:lang w:val="ru-RU"/>
                    </w:rPr>
                    <w:t>ика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и сарадника путем потпуног или делимичног покривањa трошкова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учешћa на нау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lastRenderedPageBreak/>
                    <w:t xml:space="preserve">чним и стручним конференцијама, </w:t>
                  </w:r>
                  <w:r w:rsidR="00AB61B2">
                    <w:rPr>
                      <w:rFonts w:ascii="Cambria" w:hAnsi="Cambria"/>
                      <w:lang w:val="ru-RU"/>
                    </w:rPr>
                    <w:t>затим сајмовима везаним за проблематику сту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дијских програма, </w:t>
                  </w:r>
                  <w:r w:rsidRPr="004B5FE3">
                    <w:rPr>
                      <w:rFonts w:ascii="Cambria" w:hAnsi="Cambria"/>
                      <w:lang w:val="ru-RU"/>
                    </w:rPr>
                    <w:t>као и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 трошкова при изради и одбрани докторске </w:t>
                  </w:r>
                  <w:r w:rsidRPr="004B5FE3">
                    <w:rPr>
                      <w:rFonts w:ascii="Cambria" w:hAnsi="Cambria"/>
                      <w:lang w:val="ru-RU"/>
                    </w:rPr>
                    <w:t>дисертације. Оваква подршка има за циљ да мотивише наставнике и сараднике да се</w:t>
                  </w:r>
                  <w:r w:rsidR="00271186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додатно ангажују у научним и педагошким активностима</w:t>
                  </w:r>
                  <w:r w:rsidR="00AB61B2">
                    <w:rPr>
                      <w:rFonts w:ascii="Cambria" w:hAnsi="Cambria"/>
                      <w:lang w:val="ru-RU"/>
                    </w:rPr>
                    <w:t>.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 xml:space="preserve">Наставници </w:t>
                  </w:r>
                  <w:r w:rsidR="006D6BF0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 xml:space="preserve"> се усме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равај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у да поред референци везаних за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радове у часописима и на конференцијама, стичу и одг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оварајуће стручне сертификате и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лиценце, па је већи број наставника и стекао ова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кве лиценце (највише из области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Безбедности и здравља на раду и Ене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ргетске ефикасности)</w:t>
                  </w:r>
                  <w:r w:rsidR="006D6BF0">
                    <w:rPr>
                      <w:rFonts w:ascii="Cambria" w:hAnsi="Cambria"/>
                      <w:lang w:val="ru-RU"/>
                    </w:rPr>
                    <w:t>.</w:t>
                  </w:r>
                </w:p>
                <w:p w:rsidR="006715A2" w:rsidRPr="006715A2" w:rsidRDefault="006715A2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6715A2">
                    <w:rPr>
                      <w:rFonts w:ascii="Cambria" w:hAnsi="Cambria"/>
                      <w:lang w:val="ru-RU"/>
                    </w:rPr>
                    <w:t>Као новину везану за професионални развој кадра, а водећи се препорукама и упу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6715A2">
                    <w:rPr>
                      <w:rFonts w:ascii="Cambria" w:hAnsi="Cambria"/>
                      <w:lang w:val="ru-RU"/>
                    </w:rPr>
                    <w:t xml:space="preserve">тствима Националног акредитационог тела,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6715A2">
                    <w:rPr>
                      <w:rFonts w:ascii="Cambria" w:hAnsi="Cambria"/>
                      <w:lang w:val="ru-RU"/>
                    </w:rPr>
                    <w:t xml:space="preserve"> је увела организацију семи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6715A2">
                    <w:rPr>
                      <w:rFonts w:ascii="Cambria" w:hAnsi="Cambria"/>
                      <w:lang w:val="ru-RU"/>
                    </w:rPr>
                    <w:t>нара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6715A2">
                    <w:rPr>
                      <w:rFonts w:ascii="Cambria" w:hAnsi="Cambria"/>
                      <w:lang w:val="ru-RU"/>
                    </w:rPr>
                    <w:t>-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6715A2">
                    <w:rPr>
                      <w:rFonts w:ascii="Cambria" w:hAnsi="Cambria"/>
                      <w:lang w:val="ru-RU"/>
                    </w:rPr>
                    <w:t>обука по типу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6715A2">
                    <w:rPr>
                      <w:rFonts w:ascii="Cambria" w:hAnsi="Cambria"/>
                      <w:lang w:val="sr-Cyrl-CS"/>
                    </w:rPr>
                    <w:t xml:space="preserve">„едукација едукатора“. </w:t>
                  </w:r>
                  <w:r>
                    <w:rPr>
                      <w:rFonts w:ascii="Cambria" w:hAnsi="Cambria"/>
                      <w:lang w:val="ru-RU"/>
                    </w:rPr>
                    <w:t>Ову обуке одржавају удружења компе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тентна за ову врсту делатности и усмерене су на млађи наставнички и сараднички кадар, мада су обуке и семинари отворени за све наставнике и сараднике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Академије</w:t>
                  </w:r>
                  <w:r>
                    <w:rPr>
                      <w:rFonts w:ascii="Cambria" w:hAnsi="Cambria"/>
                      <w:lang w:val="ru-RU"/>
                    </w:rPr>
                    <w:t xml:space="preserve">. Обуке и семинари посвећени су између осталог јавном наступу, писању пројеката и начину ефикасног аплицирања за њих итд.  </w:t>
                  </w:r>
                </w:p>
                <w:p w:rsidR="00BE69B0" w:rsidRDefault="00BE69B0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Академија и њени одсеци</w:t>
                  </w:r>
                  <w:r w:rsidR="0066502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реализуј</w:t>
                  </w:r>
                  <w:r>
                    <w:rPr>
                      <w:rFonts w:ascii="Cambria" w:hAnsi="Cambria"/>
                      <w:lang w:val="ru-RU"/>
                    </w:rPr>
                    <w:t>у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 одабир нових кадрова за почетак каријере у се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ктору образовањапутем избора у звање сарадника у настави или асистената. Са сарадницима у настави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 (студенти мастер студија),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који доказују своје квалифи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кације и посвећеност раду у образовању, одржавају се</w:t>
                  </w:r>
                  <w:r w:rsidR="0097233E">
                    <w:rPr>
                      <w:rFonts w:ascii="Cambria" w:hAnsi="Cambria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консултације о њиховим мо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гућностима за будући рад у </w:t>
                  </w:r>
                  <w:r>
                    <w:rPr>
                      <w:rFonts w:ascii="Cambria" w:hAnsi="Cambria"/>
                      <w:lang w:val="ru-RU"/>
                    </w:rPr>
                    <w:t>Академији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. Сарадници који су</w:t>
                  </w:r>
                  <w:r w:rsidR="0097233E">
                    <w:rPr>
                      <w:rFonts w:ascii="Cambria" w:hAnsi="Cambria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изабрани за звање асистента, а у исто време су студенти докторских студија, подстичу</w:t>
                  </w:r>
                  <w:r w:rsidR="0097233E">
                    <w:rPr>
                      <w:rFonts w:ascii="Cambria" w:hAnsi="Cambria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се на различите облике додатног усавршавања. Са асистентима који показују изузетан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ангажман у настави и истраживању, обављају се консултације о њиховој будућој улози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и ангажману у 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одсецима и целој </w:t>
                  </w:r>
                  <w:r>
                    <w:rPr>
                      <w:rFonts w:ascii="Cambria" w:hAnsi="Cambria"/>
                      <w:lang w:val="ru-RU"/>
                    </w:rPr>
                    <w:t>Академији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. </w:t>
                  </w:r>
                </w:p>
                <w:p w:rsidR="00BE69B0" w:rsidRDefault="00AB61B2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AB61B2">
                    <w:rPr>
                      <w:rFonts w:ascii="Cambria" w:hAnsi="Cambria"/>
                      <w:lang w:val="ru-RU"/>
                    </w:rPr>
                    <w:t xml:space="preserve">Захваљујући </w:t>
                  </w:r>
                  <w:r>
                    <w:rPr>
                      <w:rFonts w:ascii="Cambria" w:hAnsi="Cambria"/>
                      <w:lang w:val="ru-RU"/>
                    </w:rPr>
                    <w:t>оваквој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политици за обнову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кадрова,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упошљава релативно млад наставни кадар за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31FDE">
                    <w:rPr>
                      <w:rFonts w:ascii="Cambria" w:hAnsi="Cambria"/>
                      <w:lang w:val="ru-RU"/>
                    </w:rPr>
                    <w:t>извођење наставе, при чему се</w:t>
                  </w:r>
                  <w:r w:rsidRPr="00AB61B2">
                    <w:rPr>
                      <w:rFonts w:ascii="Cambria" w:hAnsi="Cambria"/>
                      <w:lang w:val="ru-RU"/>
                    </w:rPr>
                    <w:t>, приликом запошљавања младих кадрова, води рачуна и</w:t>
                  </w:r>
                  <w:r w:rsidR="00271186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о равноправности у заступљености оба пола.</w:t>
                  </w:r>
                </w:p>
                <w:p w:rsidR="00BE69B0" w:rsidRPr="003645B1" w:rsidRDefault="00AB61B2" w:rsidP="00BE69B0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AB61B2">
                    <w:rPr>
                      <w:rFonts w:ascii="Cambria" w:hAnsi="Cambria"/>
                      <w:lang w:val="ru-RU"/>
                    </w:rPr>
                    <w:t>При унапређењу и одабиру наставног кадра, веома се вреднује активност иангажо</w:t>
                  </w:r>
                  <w:r w:rsidR="006715A2">
                    <w:rPr>
                      <w:rFonts w:ascii="Cambria" w:hAnsi="Cambria"/>
                      <w:lang w:val="ru-RU"/>
                    </w:rPr>
                    <w:t>-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ваност у </w:t>
                  </w:r>
                  <w:r w:rsidR="00BE69B0">
                    <w:rPr>
                      <w:rFonts w:ascii="Cambria" w:hAnsi="Cambria"/>
                      <w:lang w:val="ru-RU"/>
                    </w:rPr>
                    <w:t>наставном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процесу и веза </w:t>
                  </w:r>
                  <w:r w:rsidR="00BE69B0">
                    <w:rPr>
                      <w:rFonts w:ascii="Cambria" w:hAnsi="Cambria"/>
                      <w:lang w:val="ru-RU"/>
                    </w:rPr>
                    <w:t xml:space="preserve">тог процеса </w:t>
                  </w:r>
                  <w:r w:rsidRPr="00AB61B2">
                    <w:rPr>
                      <w:rFonts w:ascii="Cambria" w:hAnsi="Cambria"/>
                      <w:lang w:val="ru-RU"/>
                    </w:rPr>
                    <w:t>са учешћем на пројектима у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разли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читим дисциплинама. Иако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не може да учествује у научно-истра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живачким пројектима, она омогућава </w:t>
                  </w:r>
                  <w:r>
                    <w:rPr>
                      <w:rFonts w:ascii="Cambria" w:hAnsi="Cambria"/>
                      <w:lang w:val="ru-RU"/>
                    </w:rPr>
                    <w:t xml:space="preserve">својим </w:t>
                  </w:r>
                  <w:r w:rsidRPr="00AB61B2">
                    <w:rPr>
                      <w:rFonts w:ascii="Cambria" w:hAnsi="Cambria"/>
                      <w:lang w:val="ru-RU"/>
                    </w:rPr>
                    <w:t>наставницима и сарадницима да се укључе у пројекте к</w:t>
                  </w:r>
                  <w:r w:rsidR="00BE69B0">
                    <w:rPr>
                      <w:rFonts w:ascii="Cambria" w:hAnsi="Cambria"/>
                      <w:lang w:val="ru-RU"/>
                    </w:rPr>
                    <w:t>оје спроводе привредни сектор, г</w:t>
                  </w:r>
                  <w:r w:rsidRPr="00AB61B2">
                    <w:rPr>
                      <w:rFonts w:ascii="Cambria" w:hAnsi="Cambria"/>
                      <w:lang w:val="ru-RU"/>
                    </w:rPr>
                    <w:t>рад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Ниш</w:t>
                  </w:r>
                  <w:r w:rsidR="00BE69B0">
                    <w:rPr>
                      <w:rFonts w:ascii="Cambria" w:hAnsi="Cambria"/>
                      <w:lang w:val="ru-RU"/>
                    </w:rPr>
                    <w:t>, односно локалне самоуправе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, Министарство просвете, као и </w:t>
                  </w:r>
                  <w:r w:rsidR="00BE69B0">
                    <w:rPr>
                      <w:rFonts w:ascii="Cambria" w:hAnsi="Cambria"/>
                      <w:lang w:val="ru-RU"/>
                    </w:rPr>
                    <w:t xml:space="preserve">да узму 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учешће у </w:t>
                  </w:r>
                  <w:r w:rsidR="00BE69B0" w:rsidRPr="00AB61B2">
                    <w:rPr>
                      <w:rFonts w:ascii="Cambria" w:hAnsi="Cambria"/>
                      <w:lang w:val="ru-RU"/>
                    </w:rPr>
                    <w:t>Еразмус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пројектима</w:t>
                  </w:r>
                  <w:r>
                    <w:rPr>
                      <w:rFonts w:ascii="Cambria" w:hAnsi="Cambria"/>
                      <w:lang w:val="ru-RU"/>
                    </w:rPr>
                    <w:t>.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3645B1" w:rsidRPr="006117BB">
                    <w:rPr>
                      <w:rFonts w:ascii="Cambria" w:hAnsi="Cambria"/>
                    </w:rPr>
                    <w:t>Академија</w:t>
                  </w:r>
                  <w:r w:rsidR="00A31109">
                    <w:rPr>
                      <w:rFonts w:ascii="Cambria" w:hAnsi="Cambria"/>
                    </w:rPr>
                    <w:t xml:space="preserve"> </w:t>
                  </w:r>
                  <w:r w:rsidR="003645B1" w:rsidRPr="006117BB">
                    <w:rPr>
                      <w:rFonts w:ascii="Cambria" w:hAnsi="Cambria"/>
                    </w:rPr>
                    <w:t>врши мобилност</w:t>
                  </w:r>
                  <w:r w:rsidR="00A31109">
                    <w:rPr>
                      <w:rFonts w:ascii="Cambria" w:hAnsi="Cambria"/>
                    </w:rPr>
                    <w:t xml:space="preserve"> </w:t>
                  </w:r>
                  <w:r w:rsidR="003645B1">
                    <w:rPr>
                      <w:rFonts w:ascii="Cambria" w:hAnsi="Cambria"/>
                    </w:rPr>
                    <w:t>наставника</w:t>
                  </w:r>
                  <w:r w:rsidR="003645B1" w:rsidRPr="006117BB">
                    <w:rPr>
                      <w:rFonts w:ascii="Cambria" w:hAnsi="Cambria"/>
                    </w:rPr>
                    <w:t xml:space="preserve"> са</w:t>
                  </w:r>
                  <w:r w:rsidR="00A31109">
                    <w:rPr>
                      <w:rFonts w:ascii="Cambria" w:hAnsi="Cambria"/>
                    </w:rPr>
                    <w:t xml:space="preserve"> </w:t>
                  </w:r>
                  <w:r w:rsidR="003645B1" w:rsidRPr="00A76C89">
                    <w:rPr>
                      <w:rFonts w:ascii="Cambria" w:hAnsi="Cambria"/>
                    </w:rPr>
                    <w:t>другим иностраним универзитетима,</w:t>
                  </w:r>
                  <w:r w:rsidR="003645B1">
                    <w:rPr>
                      <w:rFonts w:ascii="Cambria" w:hAnsi="Cambria"/>
                    </w:rPr>
                    <w:t xml:space="preserve"> факултетима и високим струковним школама, преко програма Erazmus + KA131.</w:t>
                  </w:r>
                </w:p>
                <w:p w:rsidR="00271186" w:rsidRDefault="0066502D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Један од уочених проблема је недостатак практичног искуства, нарочито код млађег наставног и сарадничког кадра, који је одмах након завршетка студија кренуо са професионалним радом у високом образовању. Један од начина да се њихова пра</w:t>
                  </w:r>
                  <w:r w:rsidR="00C14FFB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ктична искуства повећају је и сарадња са компанијама у окружењу у реализацији пројеката који осим едукативног могу имати и комерцијални карактер. </w:t>
                  </w:r>
                  <w:r w:rsidR="00271186">
                    <w:rPr>
                      <w:rFonts w:ascii="Cambria" w:hAnsi="Cambria"/>
                      <w:lang w:val="ru-RU"/>
                    </w:rPr>
                    <w:t>Када је реч о учешћу у практичним (стручним) пројектима са привредом, треба системски реши-ти признавање рада на оваквим пројектима као репрезентативних референци при акредитацијама и изборима. На тај начин би се сами наставници и сарадници стиму-лисали на рад у оваквим пројектима.</w:t>
                  </w:r>
                </w:p>
                <w:p w:rsidR="0066502D" w:rsidRDefault="00EE0182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Ка</w:t>
                  </w:r>
                  <w:r w:rsidR="0066502D">
                    <w:rPr>
                      <w:rFonts w:ascii="Cambria" w:hAnsi="Cambria"/>
                      <w:lang w:val="ru-RU"/>
                    </w:rPr>
                    <w:t xml:space="preserve">да се говори о практичном искуству наставника и сарадника, </w:t>
                  </w:r>
                  <w:r>
                    <w:rPr>
                      <w:rFonts w:ascii="Cambria" w:hAnsi="Cambria"/>
                      <w:lang w:val="ru-RU"/>
                    </w:rPr>
                    <w:t xml:space="preserve">треба додати да је </w:t>
                  </w:r>
                  <w:r w:rsidR="0066502D">
                    <w:rPr>
                      <w:rFonts w:ascii="Cambria" w:hAnsi="Cambria"/>
                      <w:lang w:val="ru-RU"/>
                    </w:rPr>
                    <w:t>в</w:t>
                  </w:r>
                  <w:r w:rsidR="00631FDE">
                    <w:rPr>
                      <w:rFonts w:ascii="Cambria" w:hAnsi="Cambria"/>
                      <w:lang w:val="ru-RU"/>
                    </w:rPr>
                    <w:t>рло важн</w:t>
                  </w:r>
                  <w:r w:rsidR="0066502D">
                    <w:rPr>
                      <w:rFonts w:ascii="Cambria" w:hAnsi="Cambria"/>
                      <w:lang w:val="ru-RU"/>
                    </w:rPr>
                    <w:t>о присуство</w:t>
                  </w:r>
                  <w:r>
                    <w:rPr>
                      <w:rFonts w:ascii="Cambria" w:hAnsi="Cambria"/>
                      <w:lang w:val="ru-RU"/>
                    </w:rPr>
                    <w:t xml:space="preserve"> у настави</w:t>
                  </w:r>
                  <w:r w:rsidR="0066502D">
                    <w:rPr>
                      <w:rFonts w:ascii="Cambria" w:hAnsi="Cambria"/>
                      <w:lang w:val="ru-RU"/>
                    </w:rPr>
                    <w:t xml:space="preserve"> </w:t>
                  </w:r>
                  <w:r>
                    <w:rPr>
                      <w:rFonts w:ascii="Cambria" w:hAnsi="Cambria"/>
                      <w:lang w:val="ru-RU"/>
                    </w:rPr>
                    <w:t>предавача ван радног односа</w:t>
                  </w:r>
                  <w:r w:rsidR="00631FDE">
                    <w:rPr>
                      <w:rFonts w:ascii="Cambria" w:hAnsi="Cambria"/>
                      <w:lang w:val="ru-RU"/>
                    </w:rPr>
                    <w:t>,</w:t>
                  </w:r>
                  <w:r>
                    <w:rPr>
                      <w:rFonts w:ascii="Cambria" w:hAnsi="Cambria"/>
                      <w:lang w:val="ru-RU"/>
                    </w:rPr>
                    <w:t xml:space="preserve"> нарочито на мастер студијама.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Ови наставници долазе из привреде, са великим радним искуством и знањем и ангажовани су на стручно-апликативним предметима. Проблем који је присутан последњих година је њихово присуство у акредитационим материјалима </w:t>
                  </w:r>
                  <w:r w:rsidR="00631FDE">
                    <w:rPr>
                      <w:rFonts w:ascii="Cambria" w:hAnsi="Cambria"/>
                      <w:lang w:val="ru-RU"/>
                    </w:rPr>
                    <w:lastRenderedPageBreak/>
                    <w:t>јер се врло често</w:t>
                  </w:r>
                  <w:r w:rsidR="001C4F9F">
                    <w:rPr>
                      <w:rFonts w:ascii="Cambria" w:hAnsi="Cambria"/>
                      <w:lang w:val="ru-RU"/>
                    </w:rPr>
                    <w:t>,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од стране рецензената, траж</w:t>
                  </w:r>
                  <w:r w:rsidR="001C4F9F">
                    <w:rPr>
                      <w:rFonts w:ascii="Cambria" w:hAnsi="Cambria"/>
                      <w:lang w:val="ru-RU"/>
                    </w:rPr>
                    <w:t>и да предавачи ван радног односа имају исте репрезентативне референце (радови, уџбеници...), као остали наста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1C4F9F">
                    <w:rPr>
                      <w:rFonts w:ascii="Cambria" w:hAnsi="Cambria"/>
                      <w:lang w:val="ru-RU"/>
                    </w:rPr>
                    <w:t>вници, што мали број ових предавача има јер су они окренут</w:t>
                  </w:r>
                  <w:r w:rsidR="0097233E">
                    <w:rPr>
                      <w:rFonts w:ascii="Cambria" w:hAnsi="Cambria"/>
                      <w:lang w:val="ru-RU"/>
                    </w:rPr>
                    <w:t xml:space="preserve">и стручном, а не научном раду. </w:t>
                  </w:r>
                </w:p>
                <w:p w:rsidR="00631FDE" w:rsidRPr="001C4F9F" w:rsidRDefault="001C4F9F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Н</w:t>
                  </w:r>
                  <w:r w:rsidR="00631FDE">
                    <w:rPr>
                      <w:rFonts w:ascii="Cambria" w:hAnsi="Cambria"/>
                      <w:lang w:val="ru-RU"/>
                    </w:rPr>
                    <w:t>а основу табела и прилога везаних за овај стандард, може</w:t>
                  </w:r>
                  <w:r>
                    <w:rPr>
                      <w:rFonts w:ascii="Cambria" w:hAnsi="Cambria"/>
                      <w:lang w:val="ru-RU"/>
                    </w:rPr>
                    <w:t xml:space="preserve"> се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видети да је број наставника и сарадника А</w:t>
                  </w:r>
                  <w:r w:rsidR="00BE69B0">
                    <w:rPr>
                      <w:rFonts w:ascii="Cambria" w:hAnsi="Cambria"/>
                      <w:lang w:val="ru-RU"/>
                    </w:rPr>
                    <w:t>кадемије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усклађен</w:t>
                  </w:r>
                  <w:r w:rsidR="00BE69B0">
                    <w:rPr>
                      <w:rFonts w:ascii="Cambria" w:hAnsi="Cambria"/>
                      <w:lang w:val="ru-RU"/>
                    </w:rPr>
                    <w:t>,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како у </w:t>
                  </w:r>
                  <w:r w:rsidR="00631FDE">
                    <w:rPr>
                      <w:rFonts w:ascii="Cambria" w:hAnsi="Cambria"/>
                      <w:color w:val="000000"/>
                    </w:rPr>
                    <w:t>квантитативном погледу (дово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 w:rsidR="00631FDE">
                    <w:rPr>
                      <w:rFonts w:ascii="Cambria" w:hAnsi="Cambria"/>
                      <w:color w:val="000000"/>
                    </w:rPr>
                    <w:t xml:space="preserve">љан број наставника, са оптерећењима у складу са стандардима НАТ-а), тако </w:t>
                  </w:r>
                  <w:r w:rsidR="00631FDE" w:rsidRPr="00AD35C3">
                    <w:rPr>
                      <w:rFonts w:ascii="Cambria" w:hAnsi="Cambria"/>
                      <w:color w:val="000000"/>
                    </w:rPr>
                    <w:t xml:space="preserve">и у квалитативном погледу, у смислу </w:t>
                  </w:r>
                  <w:r w:rsidR="00631FDE">
                    <w:rPr>
                      <w:rFonts w:ascii="Cambria" w:hAnsi="Cambria"/>
                      <w:color w:val="000000"/>
                    </w:rPr>
                    <w:t>њихових квалификација, компетенција и рефере</w:t>
                  </w:r>
                  <w:r w:rsidR="0066502D">
                    <w:rPr>
                      <w:rFonts w:ascii="Cambria" w:hAnsi="Cambria"/>
                      <w:color w:val="000000"/>
                    </w:rPr>
                    <w:t>-</w:t>
                  </w:r>
                  <w:r w:rsidR="00631FDE">
                    <w:rPr>
                      <w:rFonts w:ascii="Cambria" w:hAnsi="Cambria"/>
                      <w:color w:val="000000"/>
                    </w:rPr>
                    <w:t>нци.</w:t>
                  </w:r>
                  <w:r>
                    <w:rPr>
                      <w:rFonts w:ascii="Cambria" w:hAnsi="Cambria"/>
                      <w:color w:val="000000"/>
                    </w:rPr>
                    <w:t xml:space="preserve"> Ипак, треба нагласити да се већ неколико година уназад појављује проблем са </w:t>
                  </w:r>
                  <w:r w:rsidR="003645B1">
                    <w:rPr>
                      <w:rFonts w:ascii="Cambria" w:hAnsi="Cambria"/>
                      <w:color w:val="000000"/>
                    </w:rPr>
                    <w:t>не</w:t>
                  </w:r>
                  <w:r>
                    <w:rPr>
                      <w:rFonts w:ascii="Cambria" w:hAnsi="Cambria"/>
                      <w:color w:val="000000"/>
                    </w:rPr>
                    <w:t>заинтересованошћу младих студената да се определе за рад у високом обра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>зовању. Пут до наставничних звања, чак и најнижих је дуг, а материјална сати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>сфакција минимална, па је чешћи пут директни одлазак у компаније које нуде одли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 xml:space="preserve">чне финансијске услове, чак и младим свршеним студентима, без икаквог радног искуства. Дугорочно, ово води ка томе да ће наредних година, већина стуковних (па и академских) високошколских установа, полако остати без наставног кадра.  </w:t>
                  </w:r>
                </w:p>
                <w:p w:rsidR="003645B1" w:rsidRPr="006D188E" w:rsidRDefault="003645B1" w:rsidP="003645B1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:rsidR="00631FDE" w:rsidRDefault="003645B1" w:rsidP="00271186">
                  <w:pPr>
                    <w:spacing w:before="60"/>
                    <w:jc w:val="both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Према тренутном стању и условима, будућност струковног образовања у погледу наставног кадра, није светла. Све је мања заинтересованост свршених студената да се укључе у рад у настави у високом образовању, а главни разлог је финансијске при</w:t>
                  </w:r>
                  <w:r w:rsidR="0066502D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 xml:space="preserve">роде. Доказ томе је што је Академија у последњих неколико година остала без скоро десетак својих асистената, који су своје професионално опредељење усмерили на рад у привреди, где су примања осетно већа него у високом образовању. Сама Академија то не може решити и то се мора решавати системски, преко ресорног Министарства. </w:t>
                  </w:r>
                  <w:r w:rsidR="00E67AD0">
                    <w:rPr>
                      <w:rFonts w:ascii="Cambria" w:hAnsi="Cambria"/>
                      <w:color w:val="000000"/>
                    </w:rPr>
                    <w:t>Оно на чему Академија може и мора активно радити је анимирање наставног и сара</w:t>
                  </w:r>
                  <w:r w:rsidR="0066502D">
                    <w:rPr>
                      <w:rFonts w:ascii="Cambria" w:hAnsi="Cambria"/>
                      <w:color w:val="000000"/>
                    </w:rPr>
                    <w:t>-</w:t>
                  </w:r>
                  <w:r w:rsidR="00E67AD0">
                    <w:rPr>
                      <w:rFonts w:ascii="Cambria" w:hAnsi="Cambria"/>
                      <w:color w:val="000000"/>
                    </w:rPr>
                    <w:t>дничког кадра на усавршавање, и то не само у научном, већ пре свега стручном погледу. Ово се може најбоље остварити кроз конкретну сарадњу наставног кадра са компанијама, организацијама и установама и то не само у образовним, већ и комерцијалним активностима. Друга пожељна активност је рад и учешће наставника и сарадника на домаћим и међународним пројектима.</w:t>
                  </w:r>
                </w:p>
                <w:p w:rsidR="00E67AD0" w:rsidRPr="003645B1" w:rsidRDefault="00E67AD0" w:rsidP="00631FDE">
                  <w:pPr>
                    <w:jc w:val="both"/>
                    <w:rPr>
                      <w:rFonts w:ascii="Cambria" w:hAnsi="Cambria"/>
                      <w:color w:val="000000"/>
                    </w:rPr>
                  </w:pPr>
                  <w:bookmarkStart w:id="0" w:name="_GoBack"/>
                  <w:bookmarkEnd w:id="0"/>
                </w:p>
                <w:p w:rsidR="003645B1" w:rsidRDefault="003645B1" w:rsidP="003645B1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>
                    <w:rPr>
                      <w:rFonts w:ascii="Cambria" w:hAnsi="Cambria"/>
                      <w:b/>
                    </w:rPr>
                    <w:t>7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:rsidR="0066502D" w:rsidRPr="0066502D" w:rsidRDefault="0066502D" w:rsidP="003645B1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/>
                  </w:tblPr>
                  <w:tblGrid>
                    <w:gridCol w:w="4616"/>
                    <w:gridCol w:w="4616"/>
                  </w:tblGrid>
                  <w:tr w:rsidR="0066502D" w:rsidRPr="002C3B06" w:rsidTr="009C3E2A"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6502D" w:rsidRPr="00762140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762140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Предности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6502D" w:rsidRPr="00762140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762140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Слабости</w:t>
                        </w:r>
                      </w:p>
                    </w:tc>
                  </w:tr>
                  <w:tr w:rsidR="0066502D" w:rsidRPr="002C3B06" w:rsidTr="009C3E2A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Поступци избора наставника и сара-дника су транспарентни +++</w:t>
                        </w:r>
                      </w:p>
                      <w:p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Избори се спроводе у складу са Законом и  препорукама Националног савета за високо образовање +++</w:t>
                        </w:r>
                      </w:p>
                      <w:p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Системски се прати и стимулише стру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чно оспособљавање и усавршавање на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ставника и осталих запослених +++</w:t>
                        </w:r>
                      </w:p>
                      <w:p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Планом присуства наставника  на нау-чним скуповима, који је саставни део Плана н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абавки, подстиче се наставни ка</w:t>
                        </w: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дар на перманентно усавршавање ++</w:t>
                        </w:r>
                      </w:p>
                      <w:p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Редовним анкетирањем студената, вре-днују се педагошке особине наставника и сарадника; +++</w:t>
                        </w:r>
                      </w:p>
                      <w:p w:rsidR="0066502D" w:rsidRPr="00246097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color w:val="002060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Добра старосна структура наставног ка-дра +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66502D" w:rsidRPr="00EE0182" w:rsidRDefault="0066502D" w:rsidP="0066502D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Недовољан број учесника конкурса који испуњавају услове конкурса јер се тражи високо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стручни кадар са високом просе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чном оценом или академским зва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њем доктора наука ++</w:t>
                        </w:r>
                      </w:p>
                      <w:p w:rsidR="0066502D" w:rsidRPr="00EE0182" w:rsidRDefault="0066502D" w:rsidP="0066502D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Непостојање практичног искуства код дела наставника и већине асистената јер су се одмах после завршених студија запослили у високом образовању+++</w:t>
                        </w:r>
                      </w:p>
                      <w:p w:rsidR="0066502D" w:rsidRPr="00EE0182" w:rsidRDefault="0066502D" w:rsidP="0066502D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Као последица претходне слабости долази и неприпремљеност и несигу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рност  већег дела  наставног кадра за рад на пројектима у привреди +++ </w:t>
                        </w:r>
                      </w:p>
                      <w:p w:rsidR="0066502D" w:rsidRPr="00246097" w:rsidRDefault="0066502D" w:rsidP="009C3E2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4" w:right="81"/>
                          <w:jc w:val="both"/>
                          <w:rPr>
                            <w:rFonts w:ascii="Cambria" w:hAnsi="Cambria"/>
                            <w:color w:val="00206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6502D" w:rsidRPr="002C3B06" w:rsidTr="009C3E2A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6502D" w:rsidRPr="00246097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color w:val="002060"/>
                            <w:szCs w:val="22"/>
                          </w:rPr>
                        </w:pPr>
                        <w:r w:rsidRPr="00246097">
                          <w:rPr>
                            <w:rFonts w:ascii="Cambria" w:hAnsi="Cambria"/>
                            <w:b/>
                            <w:bCs/>
                            <w:color w:val="002060"/>
                            <w:szCs w:val="22"/>
                          </w:rPr>
                          <w:lastRenderedPageBreak/>
                          <w:t>Могућности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6502D" w:rsidRPr="00246097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color w:val="002060"/>
                            <w:szCs w:val="22"/>
                          </w:rPr>
                        </w:pPr>
                        <w:r w:rsidRPr="00246097">
                          <w:rPr>
                            <w:rFonts w:ascii="Cambria" w:hAnsi="Cambria"/>
                            <w:b/>
                            <w:bCs/>
                            <w:color w:val="002060"/>
                            <w:szCs w:val="22"/>
                          </w:rPr>
                          <w:t>Опасности</w:t>
                        </w:r>
                      </w:p>
                    </w:tc>
                  </w:tr>
                  <w:tr w:rsidR="0066502D" w:rsidRPr="002C3B06" w:rsidTr="009C3E2A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Већи број к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омпанија, које су отвориле пого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не у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градовима где су стациони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рани одсеци Академије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, пружају могу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ћност да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Академија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успостави добру техничку сарадњу са тим компанијама и омогући студентима одличну практи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чну наставу и евентуално будуће запо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слење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+++ </w:t>
                        </w:r>
                      </w:p>
                      <w:p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Формализовање вредновања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стручних пројеката наставника и сарадника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као репрезентативне референце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приликом избора у звање и будућим акредитаци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јама +++</w:t>
                        </w:r>
                      </w:p>
                      <w:p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Мобилност наставника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и сарадника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+++</w:t>
                        </w:r>
                      </w:p>
                      <w:p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Интензивирање међународне сарадње и пројекат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а који се баве побољшањем ква-ли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тета наставника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и сарадника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++</w:t>
                        </w:r>
                      </w:p>
                      <w:p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Процес самовредновања представља по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вод и подстицај за поновну евалуацију правилника и критеријума везаних за ову област +</w:t>
                        </w:r>
                      </w:p>
                      <w:p w:rsidR="0066502D" w:rsidRPr="00014A90" w:rsidRDefault="0066502D" w:rsidP="009C3E2A">
                        <w:pPr>
                          <w:tabs>
                            <w:tab w:val="left" w:pos="227"/>
                          </w:tabs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66502D" w:rsidRPr="00EE0182" w:rsidRDefault="00EE0182" w:rsidP="00EE0182">
                        <w:pPr>
                          <w:pStyle w:val="ListParagraph"/>
                          <w:widowControl w:val="0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354" w:right="81" w:hanging="283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Ниске </w:t>
                        </w:r>
                        <w:r w:rsidR="0066502D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зарада 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у високом образовању довешће до пада интересовања младих за рад у настави, па би наредних година могло да дође до недостатка овог кадра и немогућности добре селекције </w:t>
                        </w:r>
                        <w:r w:rsidR="0066502D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++</w:t>
                        </w:r>
                      </w:p>
                      <w:p w:rsidR="0066502D" w:rsidRPr="00EE0182" w:rsidRDefault="0066502D" w:rsidP="00EE0182">
                        <w:pPr>
                          <w:pStyle w:val="ListParagraph"/>
                          <w:widowControl w:val="0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354" w:right="81" w:hanging="283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Оптерећеност наставника утиче на ра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сположиво време за рад на публи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ковању својих резултата и усавршавања +</w:t>
                        </w:r>
                      </w:p>
                      <w:p w:rsidR="0066502D" w:rsidRPr="00EE0182" w:rsidRDefault="0066502D" w:rsidP="00EE0182">
                        <w:pPr>
                          <w:pStyle w:val="ListParagraph"/>
                          <w:widowControl w:val="0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354" w:right="81" w:hanging="283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Већа посвећеност наставника писању научних и стручних радова, од рада на  пројектима са привредом, може непо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вољно утицати на стицање и уса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вршавање њиховог практичног знања и искуства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+ </w:t>
                        </w:r>
                      </w:p>
                    </w:tc>
                  </w:tr>
                </w:tbl>
                <w:p w:rsidR="00353518" w:rsidRDefault="00353518" w:rsidP="00EE0182">
                  <w:pPr>
                    <w:spacing w:after="120"/>
                  </w:pPr>
                </w:p>
                <w:p w:rsidR="003645B1" w:rsidRDefault="003645B1" w:rsidP="003645B1">
                  <w:pPr>
                    <w:pStyle w:val="BodyText"/>
                    <w:spacing w:before="120"/>
                    <w:ind w:right="25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г) </w:t>
                  </w:r>
                  <w:r>
                    <w:rPr>
                      <w:b/>
                      <w:lang w:val="sr-Cyrl-CS"/>
                    </w:rPr>
                    <w:t>Предлог мера и активности за унапређење квалитета Стандарда 7</w:t>
                  </w:r>
                  <w:r>
                    <w:rPr>
                      <w:b/>
                      <w:color w:val="FF0000"/>
                      <w:lang w:val="sr-Cyrl-CS"/>
                    </w:rPr>
                    <w:t>: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Стално подизање нивоа компетентности наставника и сарадника Академије, кроз повећање научне продукције и повећање ангажованости у националним и међународним научним пројектима и нарочито</w:t>
                  </w:r>
                  <w:r w:rsidR="00271186">
                    <w:rPr>
                      <w:rFonts w:ascii="Cambria" w:hAnsi="Cambria"/>
                    </w:rPr>
                    <w:t xml:space="preserve"> пројектима везаним за привреду,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Редовно вршење евалуације активности наставника и сарадника, ради поди-</w:t>
                  </w:r>
                  <w:r w:rsidR="00271186">
                    <w:rPr>
                      <w:rFonts w:ascii="Cambria" w:hAnsi="Cambria"/>
                    </w:rPr>
                    <w:t>зања квалитета и компетентности,</w:t>
                  </w:r>
                  <w:r w:rsidRPr="00014A90">
                    <w:rPr>
                      <w:rFonts w:ascii="Cambria" w:hAnsi="Cambria"/>
                    </w:rPr>
                    <w:t xml:space="preserve">  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Креирање стимулативних мера и награда, као мотив за квалитетније анга</w:t>
                  </w:r>
                  <w:r w:rsidR="00271186">
                    <w:rPr>
                      <w:rFonts w:ascii="Cambria" w:hAnsi="Cambria"/>
                    </w:rPr>
                    <w:t>жо-вање наставника и  сарадника,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Организовање додатне  едукације  из  области  методологије реализације на-ставе кроз семинаре типа „едукација едукатора“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Појачање комуникације између наставника Академије и релевантних профе-сионалних удружења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Усаглашавање броја и квалитета наставника са стандардима квалитета ЕУ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Усвајање критеријума по којима би ангажовање у настави и подизање њеног квалитета, као и у другим облицима ангажовања од кључног интереса за Академије, били боље вредновани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Унапређивање компетенција наставног особља кроз стручно усавршавање и промишљену селекцију.</w:t>
                  </w:r>
                </w:p>
                <w:p w:rsidR="000779C8" w:rsidRPr="00014A90" w:rsidRDefault="000779C8" w:rsidP="00014A90">
                  <w:pPr>
                    <w:pStyle w:val="BodyText"/>
                    <w:spacing w:before="120"/>
                    <w:ind w:right="250"/>
                    <w:jc w:val="both"/>
                  </w:pP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353518" w:rsidRPr="00836B7F" w:rsidRDefault="00353518" w:rsidP="00353518">
                  <w:pPr>
                    <w:rPr>
                      <w:rFonts w:ascii="Cambria" w:hAnsi="Cambria"/>
                    </w:rPr>
                  </w:pPr>
                  <w:r w:rsidRPr="00836B7F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стандард  7:</w:t>
                  </w:r>
                </w:p>
                <w:p w:rsidR="00353518" w:rsidRPr="00836B7F" w:rsidRDefault="00E955B4" w:rsidP="001050FA">
                  <w:pPr>
                    <w:jc w:val="both"/>
                    <w:rPr>
                      <w:rFonts w:ascii="Cambria" w:hAnsi="Cambria"/>
                    </w:rPr>
                  </w:pPr>
                  <w:hyperlink r:id="rId15" w:history="1">
                    <w:r w:rsidR="00353518" w:rsidRPr="00E955B4">
                      <w:rPr>
                        <w:rStyle w:val="Hyperlink"/>
                        <w:rFonts w:ascii="Cambria" w:hAnsi="Cambria"/>
                        <w:b/>
                      </w:rPr>
                      <w:t>Табела 7.1.</w:t>
                    </w:r>
                    <w:r w:rsidR="00EE0182" w:rsidRPr="00E955B4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Преглед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броја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наставника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по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звањима  и  статус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наставника  у</w:t>
                    </w:r>
                    <w:r w:rsidR="001050FA" w:rsidRPr="00E955B4">
                      <w:rPr>
                        <w:rStyle w:val="Hyperlink"/>
                        <w:rFonts w:ascii="Cambria" w:hAnsi="Cambria"/>
                      </w:rPr>
                      <w:t xml:space="preserve"> В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исоко</w:t>
                    </w:r>
                    <w:r w:rsidR="00836B7F" w:rsidRPr="00E955B4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lastRenderedPageBreak/>
                      <w:t>школској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установи  (радни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однос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са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пуним и непуним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радним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временом, ангажова</w:t>
                    </w:r>
                    <w:r w:rsidR="00051CA4" w:rsidRPr="00E955B4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ње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по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уговору)</w:t>
                    </w:r>
                  </w:hyperlink>
                </w:p>
                <w:p w:rsidR="00353518" w:rsidRPr="00836B7F" w:rsidRDefault="00E955B4" w:rsidP="001050FA">
                  <w:pPr>
                    <w:jc w:val="both"/>
                    <w:rPr>
                      <w:rFonts w:ascii="Cambria" w:hAnsi="Cambria"/>
                    </w:rPr>
                  </w:pPr>
                  <w:hyperlink r:id="rId16" w:history="1">
                    <w:r w:rsidR="00353518" w:rsidRPr="00E955B4">
                      <w:rPr>
                        <w:rStyle w:val="Hyperlink"/>
                        <w:rFonts w:ascii="Cambria" w:hAnsi="Cambria"/>
                        <w:b/>
                      </w:rPr>
                      <w:t>Табела 7.2.</w:t>
                    </w:r>
                    <w:r w:rsidR="00EE0182" w:rsidRPr="00E955B4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Преглед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броја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сарадника и статус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сарадника у високошколској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установи  (радни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однос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са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пуним и непуним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радним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временом, ангажовање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по</w:t>
                    </w:r>
                    <w:r w:rsidR="00EE0182" w:rsidRPr="00E955B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E955B4">
                      <w:rPr>
                        <w:rStyle w:val="Hyperlink"/>
                        <w:rFonts w:ascii="Cambria" w:hAnsi="Cambria"/>
                      </w:rPr>
                      <w:t>уговору)</w:t>
                    </w:r>
                  </w:hyperlink>
                </w:p>
                <w:p w:rsidR="00353518" w:rsidRPr="00836B7F" w:rsidRDefault="00FA3CBF" w:rsidP="001050FA">
                  <w:pPr>
                    <w:jc w:val="both"/>
                    <w:rPr>
                      <w:rFonts w:ascii="Cambria" w:hAnsi="Cambria"/>
                    </w:rPr>
                  </w:pPr>
                  <w:hyperlink r:id="rId17" w:history="1">
                    <w:proofErr w:type="gramStart"/>
                    <w:r w:rsidR="00353518" w:rsidRPr="00836B7F">
                      <w:rPr>
                        <w:rStyle w:val="Hyperlink"/>
                        <w:rFonts w:ascii="Cambria" w:hAnsi="Cambria"/>
                        <w:b/>
                      </w:rPr>
                      <w:t>Прилог  7.1</w:t>
                    </w:r>
                    <w:proofErr w:type="gramEnd"/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.</w:t>
                    </w:r>
                    <w:r w:rsidR="00EE0182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Правилник о избору</w:t>
                    </w:r>
                    <w:r w:rsidR="00EE0182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наставника и сарадника</w:t>
                    </w:r>
                  </w:hyperlink>
                </w:p>
                <w:p w:rsidR="00834D85" w:rsidRPr="00A95ABB" w:rsidRDefault="00FA3CBF" w:rsidP="001050FA">
                  <w:pPr>
                    <w:widowControl w:val="0"/>
                    <w:autoSpaceDE w:val="0"/>
                    <w:jc w:val="both"/>
                  </w:pPr>
                  <w:hyperlink r:id="rId18" w:history="1">
                    <w:r w:rsidR="00353518" w:rsidRPr="00836B7F">
                      <w:rPr>
                        <w:rStyle w:val="Hyperlink"/>
                        <w:rFonts w:ascii="Cambria" w:hAnsi="Cambria"/>
                        <w:b/>
                      </w:rPr>
                      <w:t>Прилог 7.2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. Однос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укупног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броја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студената (број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одобрен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акредитацијом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помножен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бројем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година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трајања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студијског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програма) и броја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запослених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наста</w:t>
                    </w:r>
                    <w:r w:rsidR="00051CA4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вника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нивоу установе</w:t>
                    </w:r>
                  </w:hyperlink>
                </w:p>
              </w:tc>
            </w:tr>
          </w:tbl>
          <w:p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9"/>
      <w:footerReference w:type="even" r:id="rId20"/>
      <w:footerReference w:type="default" r:id="rId21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FA3CBF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1050FA" w:rsidP="0035351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АТВСС: СТАНДАРД 7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5">
    <w:nsid w:val="00556935"/>
    <w:multiLevelType w:val="hybridMultilevel"/>
    <w:tmpl w:val="BB9AAEB2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70027B"/>
    <w:multiLevelType w:val="hybridMultilevel"/>
    <w:tmpl w:val="05026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C51193A"/>
    <w:multiLevelType w:val="hybridMultilevel"/>
    <w:tmpl w:val="1D5CC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BC116C"/>
    <w:multiLevelType w:val="hybridMultilevel"/>
    <w:tmpl w:val="2DC0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C6BD1"/>
    <w:multiLevelType w:val="hybridMultilevel"/>
    <w:tmpl w:val="204A4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C1654"/>
    <w:multiLevelType w:val="hybridMultilevel"/>
    <w:tmpl w:val="74068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51B58"/>
    <w:multiLevelType w:val="hybridMultilevel"/>
    <w:tmpl w:val="60E4A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7"/>
  </w:num>
  <w:num w:numId="13">
    <w:abstractNumId w:val="23"/>
  </w:num>
  <w:num w:numId="14">
    <w:abstractNumId w:val="22"/>
  </w:num>
  <w:num w:numId="15">
    <w:abstractNumId w:val="25"/>
  </w:num>
  <w:num w:numId="16">
    <w:abstractNumId w:val="16"/>
  </w:num>
  <w:num w:numId="17">
    <w:abstractNumId w:val="10"/>
  </w:num>
  <w:num w:numId="18">
    <w:abstractNumId w:val="20"/>
  </w:num>
  <w:num w:numId="19">
    <w:abstractNumId w:val="13"/>
  </w:num>
  <w:num w:numId="20">
    <w:abstractNumId w:val="14"/>
  </w:num>
  <w:num w:numId="21">
    <w:abstractNumId w:val="11"/>
  </w:num>
  <w:num w:numId="22">
    <w:abstractNumId w:val="12"/>
  </w:num>
  <w:num w:numId="23">
    <w:abstractNumId w:val="18"/>
  </w:num>
  <w:num w:numId="24">
    <w:abstractNumId w:val="21"/>
  </w:num>
  <w:num w:numId="25">
    <w:abstractNumId w:val="24"/>
  </w:num>
  <w:num w:numId="26">
    <w:abstractNumId w:val="19"/>
  </w:num>
  <w:num w:numId="27">
    <w:abstractNumId w:val="15"/>
  </w:num>
  <w:num w:numId="28">
    <w:abstractNumId w:val="26"/>
  </w:num>
  <w:num w:numId="29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6257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14A90"/>
    <w:rsid w:val="00020AB2"/>
    <w:rsid w:val="00020B7A"/>
    <w:rsid w:val="00023789"/>
    <w:rsid w:val="000311F7"/>
    <w:rsid w:val="00040C21"/>
    <w:rsid w:val="00051CA4"/>
    <w:rsid w:val="000635CA"/>
    <w:rsid w:val="000761A3"/>
    <w:rsid w:val="000779C8"/>
    <w:rsid w:val="00085F9A"/>
    <w:rsid w:val="000862A2"/>
    <w:rsid w:val="00091CA3"/>
    <w:rsid w:val="0009675F"/>
    <w:rsid w:val="000A3FB4"/>
    <w:rsid w:val="000C3081"/>
    <w:rsid w:val="000E5B6D"/>
    <w:rsid w:val="000F0B98"/>
    <w:rsid w:val="000F73EC"/>
    <w:rsid w:val="0010057D"/>
    <w:rsid w:val="00100A15"/>
    <w:rsid w:val="00100A41"/>
    <w:rsid w:val="001050FA"/>
    <w:rsid w:val="00110CF2"/>
    <w:rsid w:val="00111A5E"/>
    <w:rsid w:val="00113825"/>
    <w:rsid w:val="00113E1F"/>
    <w:rsid w:val="0011730F"/>
    <w:rsid w:val="00132D16"/>
    <w:rsid w:val="00141D0A"/>
    <w:rsid w:val="00143B01"/>
    <w:rsid w:val="00145AD3"/>
    <w:rsid w:val="00146279"/>
    <w:rsid w:val="001629ED"/>
    <w:rsid w:val="00164A81"/>
    <w:rsid w:val="001656DC"/>
    <w:rsid w:val="00171772"/>
    <w:rsid w:val="0017525C"/>
    <w:rsid w:val="00182801"/>
    <w:rsid w:val="00195EEE"/>
    <w:rsid w:val="001A3B66"/>
    <w:rsid w:val="001B0E55"/>
    <w:rsid w:val="001B39B7"/>
    <w:rsid w:val="001C38F8"/>
    <w:rsid w:val="001C4F9F"/>
    <w:rsid w:val="001C6B32"/>
    <w:rsid w:val="001E17F6"/>
    <w:rsid w:val="001E49F2"/>
    <w:rsid w:val="001E4B2C"/>
    <w:rsid w:val="001F588D"/>
    <w:rsid w:val="00200B71"/>
    <w:rsid w:val="00202407"/>
    <w:rsid w:val="002025D6"/>
    <w:rsid w:val="002042A4"/>
    <w:rsid w:val="0021030A"/>
    <w:rsid w:val="00216374"/>
    <w:rsid w:val="002175D4"/>
    <w:rsid w:val="002265E1"/>
    <w:rsid w:val="00245646"/>
    <w:rsid w:val="002462C0"/>
    <w:rsid w:val="00246D0F"/>
    <w:rsid w:val="00247F29"/>
    <w:rsid w:val="00250FE6"/>
    <w:rsid w:val="002579C3"/>
    <w:rsid w:val="00264C23"/>
    <w:rsid w:val="00267D98"/>
    <w:rsid w:val="00271186"/>
    <w:rsid w:val="002732E4"/>
    <w:rsid w:val="00277A57"/>
    <w:rsid w:val="0028267C"/>
    <w:rsid w:val="00287F1A"/>
    <w:rsid w:val="0029095C"/>
    <w:rsid w:val="00290E45"/>
    <w:rsid w:val="002A1CB4"/>
    <w:rsid w:val="002A4907"/>
    <w:rsid w:val="002A7CC7"/>
    <w:rsid w:val="002C3565"/>
    <w:rsid w:val="002C7375"/>
    <w:rsid w:val="002D2425"/>
    <w:rsid w:val="002D7B06"/>
    <w:rsid w:val="002E0B90"/>
    <w:rsid w:val="002E2FB5"/>
    <w:rsid w:val="002E5C01"/>
    <w:rsid w:val="002F7AF5"/>
    <w:rsid w:val="00300CF1"/>
    <w:rsid w:val="00310094"/>
    <w:rsid w:val="00313547"/>
    <w:rsid w:val="00315854"/>
    <w:rsid w:val="00316BC6"/>
    <w:rsid w:val="00322EEF"/>
    <w:rsid w:val="003355B3"/>
    <w:rsid w:val="003363F4"/>
    <w:rsid w:val="00336E66"/>
    <w:rsid w:val="003408B5"/>
    <w:rsid w:val="003410BD"/>
    <w:rsid w:val="00346247"/>
    <w:rsid w:val="00346C54"/>
    <w:rsid w:val="003474B7"/>
    <w:rsid w:val="003531AA"/>
    <w:rsid w:val="00353518"/>
    <w:rsid w:val="003553A1"/>
    <w:rsid w:val="00362114"/>
    <w:rsid w:val="00362C5B"/>
    <w:rsid w:val="00363955"/>
    <w:rsid w:val="003645B1"/>
    <w:rsid w:val="0039137A"/>
    <w:rsid w:val="0039429F"/>
    <w:rsid w:val="003A0D1B"/>
    <w:rsid w:val="003A2870"/>
    <w:rsid w:val="003B50C9"/>
    <w:rsid w:val="003B66B0"/>
    <w:rsid w:val="003C0403"/>
    <w:rsid w:val="003C56DB"/>
    <w:rsid w:val="003D3ABF"/>
    <w:rsid w:val="003D49D6"/>
    <w:rsid w:val="003D4A2C"/>
    <w:rsid w:val="003E12B9"/>
    <w:rsid w:val="003E5C7E"/>
    <w:rsid w:val="003E633B"/>
    <w:rsid w:val="003F02E7"/>
    <w:rsid w:val="003F2AF5"/>
    <w:rsid w:val="003F7139"/>
    <w:rsid w:val="00401E54"/>
    <w:rsid w:val="00403A39"/>
    <w:rsid w:val="00403BA9"/>
    <w:rsid w:val="00412F70"/>
    <w:rsid w:val="00413DB1"/>
    <w:rsid w:val="004153DC"/>
    <w:rsid w:val="004260C9"/>
    <w:rsid w:val="0043043C"/>
    <w:rsid w:val="00436B81"/>
    <w:rsid w:val="0043769D"/>
    <w:rsid w:val="004456BF"/>
    <w:rsid w:val="004475BC"/>
    <w:rsid w:val="0045428E"/>
    <w:rsid w:val="00457C2C"/>
    <w:rsid w:val="00483AF7"/>
    <w:rsid w:val="00487C79"/>
    <w:rsid w:val="00495EF3"/>
    <w:rsid w:val="004973D2"/>
    <w:rsid w:val="004A6677"/>
    <w:rsid w:val="004A704F"/>
    <w:rsid w:val="004B5FE3"/>
    <w:rsid w:val="004B726F"/>
    <w:rsid w:val="004C1272"/>
    <w:rsid w:val="004C76AC"/>
    <w:rsid w:val="004E6D36"/>
    <w:rsid w:val="004F02BF"/>
    <w:rsid w:val="004F2C86"/>
    <w:rsid w:val="004F554E"/>
    <w:rsid w:val="00502374"/>
    <w:rsid w:val="005063BC"/>
    <w:rsid w:val="00517FCD"/>
    <w:rsid w:val="00521B9D"/>
    <w:rsid w:val="0052427F"/>
    <w:rsid w:val="00530E94"/>
    <w:rsid w:val="00533BB9"/>
    <w:rsid w:val="005365F6"/>
    <w:rsid w:val="00536684"/>
    <w:rsid w:val="00542C7F"/>
    <w:rsid w:val="00547624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A0B76"/>
    <w:rsid w:val="005C5B98"/>
    <w:rsid w:val="005C700C"/>
    <w:rsid w:val="005C7D90"/>
    <w:rsid w:val="005E26E8"/>
    <w:rsid w:val="005E38DB"/>
    <w:rsid w:val="005F24C2"/>
    <w:rsid w:val="005F5316"/>
    <w:rsid w:val="00610E5C"/>
    <w:rsid w:val="00631FDE"/>
    <w:rsid w:val="00633721"/>
    <w:rsid w:val="00635B39"/>
    <w:rsid w:val="00636249"/>
    <w:rsid w:val="0064565A"/>
    <w:rsid w:val="0064661F"/>
    <w:rsid w:val="00647B18"/>
    <w:rsid w:val="00650CAE"/>
    <w:rsid w:val="00657B91"/>
    <w:rsid w:val="00657CB8"/>
    <w:rsid w:val="00660BFA"/>
    <w:rsid w:val="00662E68"/>
    <w:rsid w:val="0066502D"/>
    <w:rsid w:val="006715A2"/>
    <w:rsid w:val="006734B8"/>
    <w:rsid w:val="0069243A"/>
    <w:rsid w:val="006929BE"/>
    <w:rsid w:val="006941A8"/>
    <w:rsid w:val="00697B9A"/>
    <w:rsid w:val="006C45F7"/>
    <w:rsid w:val="006C5E41"/>
    <w:rsid w:val="006C6451"/>
    <w:rsid w:val="006D6BF0"/>
    <w:rsid w:val="006E00DC"/>
    <w:rsid w:val="006E0C9A"/>
    <w:rsid w:val="006E0EA9"/>
    <w:rsid w:val="006E29C5"/>
    <w:rsid w:val="006E3C2C"/>
    <w:rsid w:val="006E521E"/>
    <w:rsid w:val="006F061C"/>
    <w:rsid w:val="006F265E"/>
    <w:rsid w:val="006F640B"/>
    <w:rsid w:val="00717826"/>
    <w:rsid w:val="00730916"/>
    <w:rsid w:val="007344BE"/>
    <w:rsid w:val="00741088"/>
    <w:rsid w:val="00747277"/>
    <w:rsid w:val="00756142"/>
    <w:rsid w:val="00773791"/>
    <w:rsid w:val="00780B45"/>
    <w:rsid w:val="00780D32"/>
    <w:rsid w:val="0078323F"/>
    <w:rsid w:val="007A494E"/>
    <w:rsid w:val="007A65D0"/>
    <w:rsid w:val="007B301F"/>
    <w:rsid w:val="007C2EB2"/>
    <w:rsid w:val="007D44F9"/>
    <w:rsid w:val="007F26F9"/>
    <w:rsid w:val="007F2B68"/>
    <w:rsid w:val="007F2DA3"/>
    <w:rsid w:val="008065E2"/>
    <w:rsid w:val="0081096D"/>
    <w:rsid w:val="00811456"/>
    <w:rsid w:val="00812767"/>
    <w:rsid w:val="00816DA8"/>
    <w:rsid w:val="008248EF"/>
    <w:rsid w:val="008252C9"/>
    <w:rsid w:val="00831062"/>
    <w:rsid w:val="008312C1"/>
    <w:rsid w:val="00832B68"/>
    <w:rsid w:val="00834D85"/>
    <w:rsid w:val="00836B7F"/>
    <w:rsid w:val="00837BB5"/>
    <w:rsid w:val="00845B82"/>
    <w:rsid w:val="00847A6C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C1340"/>
    <w:rsid w:val="008C59B2"/>
    <w:rsid w:val="008D059F"/>
    <w:rsid w:val="00901F3D"/>
    <w:rsid w:val="00902184"/>
    <w:rsid w:val="00905C49"/>
    <w:rsid w:val="00923EAC"/>
    <w:rsid w:val="00932BCD"/>
    <w:rsid w:val="00933112"/>
    <w:rsid w:val="0093412B"/>
    <w:rsid w:val="009348B7"/>
    <w:rsid w:val="00947159"/>
    <w:rsid w:val="00947291"/>
    <w:rsid w:val="0095677B"/>
    <w:rsid w:val="00964F9E"/>
    <w:rsid w:val="0097233E"/>
    <w:rsid w:val="009739E2"/>
    <w:rsid w:val="00974D24"/>
    <w:rsid w:val="0097787F"/>
    <w:rsid w:val="00983022"/>
    <w:rsid w:val="00984810"/>
    <w:rsid w:val="00991184"/>
    <w:rsid w:val="009A058F"/>
    <w:rsid w:val="009A406D"/>
    <w:rsid w:val="009A4EE3"/>
    <w:rsid w:val="009B02D2"/>
    <w:rsid w:val="009B0927"/>
    <w:rsid w:val="009B331E"/>
    <w:rsid w:val="009B5B6F"/>
    <w:rsid w:val="009C07ED"/>
    <w:rsid w:val="009C4B5E"/>
    <w:rsid w:val="009C52A1"/>
    <w:rsid w:val="009D3A4C"/>
    <w:rsid w:val="009D4A95"/>
    <w:rsid w:val="009F4FC8"/>
    <w:rsid w:val="009F5E57"/>
    <w:rsid w:val="00A026EC"/>
    <w:rsid w:val="00A16EC0"/>
    <w:rsid w:val="00A205AF"/>
    <w:rsid w:val="00A22CB4"/>
    <w:rsid w:val="00A23C14"/>
    <w:rsid w:val="00A31109"/>
    <w:rsid w:val="00A37097"/>
    <w:rsid w:val="00A41524"/>
    <w:rsid w:val="00A46347"/>
    <w:rsid w:val="00A46F77"/>
    <w:rsid w:val="00A57658"/>
    <w:rsid w:val="00A65E15"/>
    <w:rsid w:val="00A7179B"/>
    <w:rsid w:val="00A745D0"/>
    <w:rsid w:val="00A80F1D"/>
    <w:rsid w:val="00A95ABB"/>
    <w:rsid w:val="00AA0DA0"/>
    <w:rsid w:val="00AA145B"/>
    <w:rsid w:val="00AA2466"/>
    <w:rsid w:val="00AA7EDD"/>
    <w:rsid w:val="00AB063A"/>
    <w:rsid w:val="00AB096A"/>
    <w:rsid w:val="00AB61B2"/>
    <w:rsid w:val="00AC6D1A"/>
    <w:rsid w:val="00AD2E2D"/>
    <w:rsid w:val="00AD35C3"/>
    <w:rsid w:val="00AD6B03"/>
    <w:rsid w:val="00AE295C"/>
    <w:rsid w:val="00AE76F8"/>
    <w:rsid w:val="00AF41CE"/>
    <w:rsid w:val="00AF4E8E"/>
    <w:rsid w:val="00AF62AB"/>
    <w:rsid w:val="00AF6C4A"/>
    <w:rsid w:val="00B04759"/>
    <w:rsid w:val="00B12604"/>
    <w:rsid w:val="00B1325B"/>
    <w:rsid w:val="00B15CFE"/>
    <w:rsid w:val="00B20FFE"/>
    <w:rsid w:val="00B22C71"/>
    <w:rsid w:val="00B3098F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1D79"/>
    <w:rsid w:val="00B852E6"/>
    <w:rsid w:val="00B90415"/>
    <w:rsid w:val="00BB36F7"/>
    <w:rsid w:val="00BB5A36"/>
    <w:rsid w:val="00BB7B4B"/>
    <w:rsid w:val="00BC7641"/>
    <w:rsid w:val="00BD668D"/>
    <w:rsid w:val="00BE69B0"/>
    <w:rsid w:val="00C04A10"/>
    <w:rsid w:val="00C04BCC"/>
    <w:rsid w:val="00C07496"/>
    <w:rsid w:val="00C1166D"/>
    <w:rsid w:val="00C14FFB"/>
    <w:rsid w:val="00C17B7E"/>
    <w:rsid w:val="00C25273"/>
    <w:rsid w:val="00C273ED"/>
    <w:rsid w:val="00C36336"/>
    <w:rsid w:val="00C57919"/>
    <w:rsid w:val="00C625CB"/>
    <w:rsid w:val="00C63DC3"/>
    <w:rsid w:val="00C663D4"/>
    <w:rsid w:val="00C66935"/>
    <w:rsid w:val="00C71FB6"/>
    <w:rsid w:val="00C72A01"/>
    <w:rsid w:val="00C7303E"/>
    <w:rsid w:val="00C76ECE"/>
    <w:rsid w:val="00C838E9"/>
    <w:rsid w:val="00C8455F"/>
    <w:rsid w:val="00C905FD"/>
    <w:rsid w:val="00C96EDB"/>
    <w:rsid w:val="00CA4AB0"/>
    <w:rsid w:val="00CB0298"/>
    <w:rsid w:val="00CB61F1"/>
    <w:rsid w:val="00CC5161"/>
    <w:rsid w:val="00CC7DF4"/>
    <w:rsid w:val="00CD0516"/>
    <w:rsid w:val="00CD1D10"/>
    <w:rsid w:val="00CE616B"/>
    <w:rsid w:val="00CE7299"/>
    <w:rsid w:val="00CF20D1"/>
    <w:rsid w:val="00CF37E7"/>
    <w:rsid w:val="00CF7EC2"/>
    <w:rsid w:val="00D003E2"/>
    <w:rsid w:val="00D11EFF"/>
    <w:rsid w:val="00D13357"/>
    <w:rsid w:val="00D13F08"/>
    <w:rsid w:val="00D17B6C"/>
    <w:rsid w:val="00D40283"/>
    <w:rsid w:val="00D43DBE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6B9D"/>
    <w:rsid w:val="00DC1B63"/>
    <w:rsid w:val="00DC20D7"/>
    <w:rsid w:val="00DC44B6"/>
    <w:rsid w:val="00DD1E3E"/>
    <w:rsid w:val="00DE30A8"/>
    <w:rsid w:val="00DE6D6D"/>
    <w:rsid w:val="00DF0D85"/>
    <w:rsid w:val="00DF12B4"/>
    <w:rsid w:val="00DF6832"/>
    <w:rsid w:val="00E04942"/>
    <w:rsid w:val="00E25A52"/>
    <w:rsid w:val="00E30617"/>
    <w:rsid w:val="00E335FD"/>
    <w:rsid w:val="00E532B6"/>
    <w:rsid w:val="00E555A9"/>
    <w:rsid w:val="00E63056"/>
    <w:rsid w:val="00E67AD0"/>
    <w:rsid w:val="00E73B92"/>
    <w:rsid w:val="00E759CE"/>
    <w:rsid w:val="00E918A3"/>
    <w:rsid w:val="00E93D0E"/>
    <w:rsid w:val="00E955B4"/>
    <w:rsid w:val="00E963AA"/>
    <w:rsid w:val="00E96CDC"/>
    <w:rsid w:val="00EC5FF4"/>
    <w:rsid w:val="00EC671F"/>
    <w:rsid w:val="00EC77D7"/>
    <w:rsid w:val="00ED269C"/>
    <w:rsid w:val="00EE0182"/>
    <w:rsid w:val="00EE0DF9"/>
    <w:rsid w:val="00EE1732"/>
    <w:rsid w:val="00EE3509"/>
    <w:rsid w:val="00EE4F6E"/>
    <w:rsid w:val="00EF21FA"/>
    <w:rsid w:val="00EF3986"/>
    <w:rsid w:val="00EF4A37"/>
    <w:rsid w:val="00F0201A"/>
    <w:rsid w:val="00F0671B"/>
    <w:rsid w:val="00F06806"/>
    <w:rsid w:val="00F347AE"/>
    <w:rsid w:val="00F35F9B"/>
    <w:rsid w:val="00F37924"/>
    <w:rsid w:val="00F40C39"/>
    <w:rsid w:val="00F4575D"/>
    <w:rsid w:val="00F60694"/>
    <w:rsid w:val="00F64E0D"/>
    <w:rsid w:val="00F7014E"/>
    <w:rsid w:val="00F73BAE"/>
    <w:rsid w:val="00F74A01"/>
    <w:rsid w:val="00F813C1"/>
    <w:rsid w:val="00F84597"/>
    <w:rsid w:val="00F94CB0"/>
    <w:rsid w:val="00FA0F1C"/>
    <w:rsid w:val="00FA3CBF"/>
    <w:rsid w:val="00FA5430"/>
    <w:rsid w:val="00FD1D0A"/>
    <w:rsid w:val="00FD1D40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0/06/Pravilnik_o_strucnom_i_naucnom_usavrsavanju_nastavnika_i_saradnika_ATVSS_25062020.pdf" TargetMode="External"/><Relationship Id="rId18" Type="http://schemas.openxmlformats.org/officeDocument/2006/relationships/hyperlink" Target="&#1055;&#1088;&#1080;&#1083;&#1086;&#1079;&#1080;/&#1055;&#1088;&#1080;&#1083;&#1086;&#1075;%207.2.%20&#1054;&#1076;&#1085;&#1086;&#1089;%20&#1091;&#1082;&#1091;&#1087;&#1085;&#1086;&#1075;%20&#1073;&#1088;&#1086;&#1112;&#1072;%20&#1089;&#1090;&#1091;&#1076;&#1077;&#1085;&#1072;&#1090;&#1072;%20&#1080;%20&#1073;&#1088;&#1086;&#1112;&#1072;%20&#1085;&#1072;&#1089;&#1090;&#1072;&#1074;&#1085;&#1080;&#1082;&#1072;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7" Type="http://schemas.openxmlformats.org/officeDocument/2006/relationships/hyperlink" Target="&#1055;&#1088;&#1080;&#1083;&#1086;&#1079;&#1080;/&#1055;&#1088;&#1080;&#1083;&#1086;&#1075;%207.1.%20&#1055;&#1088;&#1072;&#1074;&#1080;&#1083;&#1085;&#1080;&#1082;%20&#1086;%20&#1080;&#1079;&#1073;&#1086;&#1088;&#1091;%20&#1085;&#1072;&#1089;&#1090;&#1072;&#1074;&#1085;&#1080;&#1082;&#1072;%20&#1080;%20&#1089;&#1072;&#1088;&#1072;&#1076;&#1085;&#1080;&#1082;&#1072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&#1058;&#1072;&#1073;&#1077;&#1083;&#1077;/&#1058;&#1072;&#1073;&#1077;&#1083;&#1072;%207.2.%20&#1055;&#1088;&#1077;&#1075;&#1083;&#1077;&#1076;%20&#1073;&#1088;&#1086;&#1112;&#1072;%20&#1089;&#1072;&#1088;&#1072;&#1076;&#1085;&#1080;&#1082;&#1072;%20&#1080;%20&#1089;&#1090;&#1072;&#1090;&#1091;&#1089;%20&#1089;&#1072;&#1088;&#1072;&#1076;&#1085;&#1080;&#1082;&#1072;%20&#1091;%20&#1074;&#1080;&#1089;&#1086;&#1082;&#1086;&#1096;&#1082;&#1086;&#1083;&#1089;&#1082;&#1086;&#1112;%20&#1091;&#1089;&#1090;&#1072;&#1085;&#1086;&#1074;&#1080;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&#1058;&#1072;&#1073;&#1077;&#1083;&#1077;/&#1058;&#1072;&#1073;&#1077;&#1083;&#1072;%207.1.%20&#1055;&#1088;&#1077;&#1075;&#1083;&#1077;&#1076;%20&#1073;&#1088;&#1086;&#1112;&#1072;%20&#1085;&#1072;&#1089;&#1090;&#1072;&#1074;&#1085;&#1080;&#1082;&#1072;%20&#1087;&#1086;%20&#1079;&#1074;&#1072;&#1114;&#1080;&#1084;&#1072;%20%20&#1080;%20%20&#1089;&#1090;&#1072;&#1090;&#1091;&#1089;%20&#1085;&#1072;&#1089;&#1090;&#1072;&#1074;&#1085;&#1080;&#1082;&#1072;%20%20&#1091;%20&#1042;&#1080;&#1089;&#1086;&#1082;&#1086;&#1096;&#1082;&#1086;&#1083;&#1089;&#1082;&#1086;&#1112;%20&#1091;&#1089;&#1090;&#1072;&#1085;&#1086;&#1074;&#1080;_.pdf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4/11/Odluka_o_sredstvima_opredeljenim_za_naucno_istrazivacki_rad_2023_ATVSS_28_12_2023.pdf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538A3"/>
    <w:rsid w:val="000B4395"/>
    <w:rsid w:val="000C5303"/>
    <w:rsid w:val="000D6360"/>
    <w:rsid w:val="001A1CBC"/>
    <w:rsid w:val="00336FA2"/>
    <w:rsid w:val="0037640A"/>
    <w:rsid w:val="00377067"/>
    <w:rsid w:val="003B5CAD"/>
    <w:rsid w:val="003D125F"/>
    <w:rsid w:val="00415979"/>
    <w:rsid w:val="004F5B32"/>
    <w:rsid w:val="0052427F"/>
    <w:rsid w:val="00533BB9"/>
    <w:rsid w:val="005A6B23"/>
    <w:rsid w:val="005F7C64"/>
    <w:rsid w:val="0063353B"/>
    <w:rsid w:val="006828BF"/>
    <w:rsid w:val="007736D9"/>
    <w:rsid w:val="00792CAA"/>
    <w:rsid w:val="0084191A"/>
    <w:rsid w:val="00993F30"/>
    <w:rsid w:val="009C52A1"/>
    <w:rsid w:val="00A45198"/>
    <w:rsid w:val="00A826FA"/>
    <w:rsid w:val="00AA6C77"/>
    <w:rsid w:val="00AF6048"/>
    <w:rsid w:val="00B6403F"/>
    <w:rsid w:val="00B92F17"/>
    <w:rsid w:val="00C03E09"/>
    <w:rsid w:val="00C311ED"/>
    <w:rsid w:val="00C531FB"/>
    <w:rsid w:val="00CB3748"/>
    <w:rsid w:val="00CB504C"/>
    <w:rsid w:val="00CF6EAB"/>
    <w:rsid w:val="00D447C0"/>
    <w:rsid w:val="00DE3BCD"/>
    <w:rsid w:val="00DF0B5B"/>
    <w:rsid w:val="00D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E9E61-DF41-4EDE-B286-F104DA44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8</Pages>
  <Words>2460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7   </vt:lpstr>
    </vt:vector>
  </TitlesOfParts>
  <Company/>
  <LinksUpToDate>false</LinksUpToDate>
  <CharactersWithSpaces>18573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7   </dc:title>
  <dc:creator>Sasa</dc:creator>
  <cp:lastModifiedBy>PC</cp:lastModifiedBy>
  <cp:revision>54</cp:revision>
  <cp:lastPrinted>2017-04-30T19:55:00Z</cp:lastPrinted>
  <dcterms:created xsi:type="dcterms:W3CDTF">2025-01-07T10:16:00Z</dcterms:created>
  <dcterms:modified xsi:type="dcterms:W3CDTF">2025-07-10T09:06:00Z</dcterms:modified>
</cp:coreProperties>
</file>